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A2B96" w14:textId="17715D61" w:rsidR="00F26619" w:rsidRDefault="00F26619" w:rsidP="00C90C5C">
      <w:pPr>
        <w:pStyle w:val="BodyText"/>
        <w:spacing w:before="0"/>
        <w:ind w:left="0"/>
      </w:pPr>
      <w:r>
        <w:t>29 May 2025</w:t>
      </w:r>
    </w:p>
    <w:p w14:paraId="635F0098" w14:textId="09F7183D" w:rsidR="00F26619" w:rsidRDefault="00F26619" w:rsidP="00C90C5C">
      <w:pPr>
        <w:pStyle w:val="BodyText"/>
        <w:spacing w:before="0"/>
        <w:ind w:left="0"/>
      </w:pPr>
    </w:p>
    <w:p w14:paraId="24430CC0" w14:textId="2DC6ECB7" w:rsidR="00345DA0" w:rsidRDefault="009B4327" w:rsidP="00C90C5C">
      <w:pPr>
        <w:pStyle w:val="BodyText"/>
        <w:spacing w:before="0"/>
        <w:ind w:left="0"/>
      </w:pPr>
      <w:r>
        <w:t>Departmental Committee on Finance and National Planning,</w:t>
      </w:r>
    </w:p>
    <w:p w14:paraId="3B4CE32A" w14:textId="05945958" w:rsidR="00345DA0" w:rsidRDefault="00000000" w:rsidP="00C90C5C">
      <w:pPr>
        <w:pStyle w:val="BodyText"/>
        <w:spacing w:before="22"/>
        <w:ind w:left="0"/>
      </w:pPr>
      <w:r>
        <w:t>1</w:t>
      </w:r>
      <w:r>
        <w:rPr>
          <w:vertAlign w:val="superscript"/>
        </w:rPr>
        <w:t>st</w:t>
      </w:r>
      <w:r>
        <w:rPr>
          <w:spacing w:val="-4"/>
        </w:rPr>
        <w:t xml:space="preserve"> </w:t>
      </w:r>
      <w:r>
        <w:t>Floor,</w:t>
      </w:r>
      <w:r>
        <w:rPr>
          <w:spacing w:val="-5"/>
        </w:rPr>
        <w:t xml:space="preserve"> </w:t>
      </w:r>
      <w:r>
        <w:t>Main</w:t>
      </w:r>
      <w:r>
        <w:rPr>
          <w:spacing w:val="-4"/>
        </w:rPr>
        <w:t xml:space="preserve"> </w:t>
      </w:r>
      <w:r>
        <w:t>Parliament</w:t>
      </w:r>
      <w:r>
        <w:rPr>
          <w:spacing w:val="-5"/>
        </w:rPr>
        <w:t xml:space="preserve"> </w:t>
      </w:r>
      <w:r>
        <w:rPr>
          <w:spacing w:val="-2"/>
        </w:rPr>
        <w:t>Buildings</w:t>
      </w:r>
      <w:r w:rsidR="009B4327">
        <w:rPr>
          <w:spacing w:val="-2"/>
        </w:rPr>
        <w:t>,</w:t>
      </w:r>
    </w:p>
    <w:p w14:paraId="0FB38BB1" w14:textId="77777777" w:rsidR="00345DA0" w:rsidRDefault="00000000" w:rsidP="00C90C5C">
      <w:pPr>
        <w:pStyle w:val="BodyText"/>
        <w:spacing w:before="19"/>
        <w:ind w:left="0"/>
      </w:pPr>
      <w:r>
        <w:t>P.</w:t>
      </w:r>
      <w:r>
        <w:rPr>
          <w:spacing w:val="-6"/>
        </w:rPr>
        <w:t xml:space="preserve"> </w:t>
      </w:r>
      <w:r>
        <w:t>O.</w:t>
      </w:r>
      <w:r>
        <w:rPr>
          <w:spacing w:val="-3"/>
        </w:rPr>
        <w:t xml:space="preserve"> </w:t>
      </w:r>
      <w:r>
        <w:t>Box</w:t>
      </w:r>
      <w:r>
        <w:rPr>
          <w:spacing w:val="-4"/>
        </w:rPr>
        <w:t xml:space="preserve"> </w:t>
      </w:r>
      <w:r>
        <w:t>41842-</w:t>
      </w:r>
      <w:r>
        <w:rPr>
          <w:spacing w:val="-4"/>
        </w:rPr>
        <w:t>00200</w:t>
      </w:r>
    </w:p>
    <w:p w14:paraId="7602B913" w14:textId="77777777" w:rsidR="00345DA0" w:rsidRDefault="00000000" w:rsidP="00C90C5C">
      <w:pPr>
        <w:pStyle w:val="Heading1"/>
        <w:spacing w:before="22"/>
        <w:ind w:left="0"/>
      </w:pPr>
      <w:r>
        <w:t>Nairobi,</w:t>
      </w:r>
      <w:r>
        <w:rPr>
          <w:spacing w:val="-8"/>
        </w:rPr>
        <w:t xml:space="preserve"> </w:t>
      </w:r>
      <w:r>
        <w:rPr>
          <w:spacing w:val="-2"/>
        </w:rPr>
        <w:t>Kenya</w:t>
      </w:r>
    </w:p>
    <w:p w14:paraId="6182FB72" w14:textId="77777777" w:rsidR="00345DA0" w:rsidRDefault="00345DA0">
      <w:pPr>
        <w:pStyle w:val="BodyText"/>
        <w:spacing w:before="202"/>
        <w:ind w:left="0"/>
        <w:rPr>
          <w:b/>
        </w:rPr>
      </w:pPr>
    </w:p>
    <w:p w14:paraId="78F533D4" w14:textId="3334A46B" w:rsidR="00345DA0" w:rsidRDefault="00000000">
      <w:pPr>
        <w:pStyle w:val="BodyText"/>
        <w:spacing w:before="0"/>
      </w:pPr>
      <w:r>
        <w:t>Attn:</w:t>
      </w:r>
      <w:r>
        <w:rPr>
          <w:spacing w:val="-4"/>
        </w:rPr>
        <w:t xml:space="preserve"> </w:t>
      </w:r>
      <w:r w:rsidR="009B4327">
        <w:rPr>
          <w:u w:val="single"/>
        </w:rPr>
        <w:t>Hon. Kuria Kimani, CBS, MP</w:t>
      </w:r>
    </w:p>
    <w:p w14:paraId="71D25009" w14:textId="77777777" w:rsidR="00345DA0" w:rsidRDefault="00345DA0">
      <w:pPr>
        <w:pStyle w:val="BodyText"/>
        <w:spacing w:before="204"/>
        <w:ind w:left="0"/>
      </w:pPr>
    </w:p>
    <w:p w14:paraId="554D95E9" w14:textId="77777777" w:rsidR="00195884" w:rsidRDefault="00000000" w:rsidP="00195884">
      <w:pPr>
        <w:pStyle w:val="BodyText"/>
        <w:spacing w:before="1"/>
        <w:jc w:val="both"/>
        <w:rPr>
          <w:spacing w:val="-2"/>
        </w:rPr>
      </w:pPr>
      <w:r>
        <w:t xml:space="preserve">Dear </w:t>
      </w:r>
      <w:r>
        <w:rPr>
          <w:spacing w:val="-2"/>
        </w:rPr>
        <w:t>Sirs,</w:t>
      </w:r>
    </w:p>
    <w:p w14:paraId="7E00FD47" w14:textId="77777777" w:rsidR="00195884" w:rsidRDefault="00195884" w:rsidP="00195884">
      <w:pPr>
        <w:pStyle w:val="BodyText"/>
        <w:spacing w:before="1"/>
        <w:jc w:val="both"/>
        <w:rPr>
          <w:spacing w:val="-2"/>
        </w:rPr>
      </w:pPr>
    </w:p>
    <w:p w14:paraId="51C026B0" w14:textId="113223C1" w:rsidR="00345DA0" w:rsidRPr="003A0376" w:rsidRDefault="00000000" w:rsidP="00195884">
      <w:pPr>
        <w:pStyle w:val="BodyText"/>
        <w:spacing w:before="1"/>
        <w:jc w:val="both"/>
        <w:rPr>
          <w:b/>
          <w:bCs/>
        </w:rPr>
      </w:pPr>
      <w:r w:rsidRPr="00195884">
        <w:rPr>
          <w:b/>
          <w:bCs/>
        </w:rPr>
        <w:t xml:space="preserve">PROPOSALS </w:t>
      </w:r>
      <w:r w:rsidR="009251F1">
        <w:rPr>
          <w:b/>
          <w:bCs/>
        </w:rPr>
        <w:t>TO</w:t>
      </w:r>
      <w:r w:rsidRPr="00195884">
        <w:rPr>
          <w:b/>
          <w:bCs/>
        </w:rPr>
        <w:t xml:space="preserve"> THE </w:t>
      </w:r>
      <w:r w:rsidR="0010365E">
        <w:rPr>
          <w:b/>
          <w:bCs/>
        </w:rPr>
        <w:t>FINANCE BILL</w:t>
      </w:r>
      <w:r w:rsidRPr="00195884">
        <w:rPr>
          <w:b/>
          <w:bCs/>
        </w:rPr>
        <w:t xml:space="preserve"> 202</w:t>
      </w:r>
      <w:r w:rsidR="0010365E">
        <w:rPr>
          <w:b/>
          <w:bCs/>
        </w:rPr>
        <w:t>5</w:t>
      </w:r>
    </w:p>
    <w:p w14:paraId="53990288" w14:textId="77777777" w:rsidR="00345DA0" w:rsidRDefault="00000000">
      <w:pPr>
        <w:pStyle w:val="BodyText"/>
        <w:spacing w:before="121"/>
        <w:jc w:val="both"/>
      </w:pPr>
      <w:r>
        <w:t>We</w:t>
      </w:r>
      <w:r>
        <w:rPr>
          <w:spacing w:val="-2"/>
        </w:rPr>
        <w:t xml:space="preserve"> </w:t>
      </w:r>
      <w:r>
        <w:t>refer</w:t>
      </w:r>
      <w:r>
        <w:rPr>
          <w:spacing w:val="-4"/>
        </w:rPr>
        <w:t xml:space="preserve"> </w:t>
      </w:r>
      <w:r>
        <w:t>to</w:t>
      </w:r>
      <w:r>
        <w:rPr>
          <w:spacing w:val="-3"/>
        </w:rPr>
        <w:t xml:space="preserve"> </w:t>
      </w:r>
      <w:r>
        <w:t>the</w:t>
      </w:r>
      <w:r>
        <w:rPr>
          <w:spacing w:val="-2"/>
        </w:rPr>
        <w:t xml:space="preserve"> </w:t>
      </w:r>
      <w:r>
        <w:t>above</w:t>
      </w:r>
      <w:r>
        <w:rPr>
          <w:spacing w:val="-1"/>
        </w:rPr>
        <w:t xml:space="preserve"> </w:t>
      </w:r>
      <w:r>
        <w:rPr>
          <w:spacing w:val="-2"/>
        </w:rPr>
        <w:t>subject.</w:t>
      </w:r>
    </w:p>
    <w:p w14:paraId="3002F805" w14:textId="352C1BF5" w:rsidR="00345DA0" w:rsidRDefault="00000000">
      <w:pPr>
        <w:pStyle w:val="BodyText"/>
        <w:spacing w:before="140" w:line="259" w:lineRule="auto"/>
        <w:ind w:right="832"/>
        <w:jc w:val="both"/>
      </w:pPr>
      <w:r>
        <w:t xml:space="preserve">We are pleased to submit our Memorandum highlighting our various proposals to the </w:t>
      </w:r>
      <w:r w:rsidR="0010365E">
        <w:t xml:space="preserve">Finance </w:t>
      </w:r>
      <w:r w:rsidR="00616092">
        <w:t>Bill, 202</w:t>
      </w:r>
      <w:r w:rsidR="0010365E">
        <w:t>5</w:t>
      </w:r>
      <w:r>
        <w:t xml:space="preserve"> (the </w:t>
      </w:r>
      <w:r>
        <w:rPr>
          <w:b/>
        </w:rPr>
        <w:t>Bill</w:t>
      </w:r>
      <w:r>
        <w:t>).</w:t>
      </w:r>
    </w:p>
    <w:p w14:paraId="270FD993" w14:textId="2ACB3F7C" w:rsidR="00847905" w:rsidRDefault="0010365E" w:rsidP="00F837A4">
      <w:pPr>
        <w:pStyle w:val="BodyText"/>
        <w:spacing w:line="259" w:lineRule="auto"/>
        <w:ind w:right="832"/>
        <w:jc w:val="both"/>
      </w:pPr>
      <w:r>
        <w:t>W</w:t>
      </w:r>
      <w:r w:rsidR="00F837A4">
        <w:t>e make these submissions to propose</w:t>
      </w:r>
      <w:r w:rsidR="009251F1">
        <w:t xml:space="preserve"> </w:t>
      </w:r>
      <w:r w:rsidR="00F837A4">
        <w:t xml:space="preserve">measures which in our view will result in a more sustainable tax regime for the sector in Kenya. </w:t>
      </w:r>
    </w:p>
    <w:p w14:paraId="5D8B27F3" w14:textId="1E8ACA38" w:rsidR="00F837A4" w:rsidRPr="00FA5AF1" w:rsidRDefault="00F837A4" w:rsidP="00F837A4">
      <w:pPr>
        <w:pStyle w:val="BodyText"/>
        <w:spacing w:line="259" w:lineRule="auto"/>
        <w:ind w:right="832"/>
        <w:jc w:val="both"/>
      </w:pPr>
      <w:r w:rsidRPr="00FA5AF1">
        <w:t>Our proposals entail the following:</w:t>
      </w:r>
    </w:p>
    <w:p w14:paraId="3E888A9E" w14:textId="4946B717" w:rsidR="00F837A4" w:rsidRPr="003A0376" w:rsidRDefault="009251F1" w:rsidP="00F837A4">
      <w:pPr>
        <w:pStyle w:val="ListParagraph"/>
        <w:numPr>
          <w:ilvl w:val="0"/>
          <w:numId w:val="8"/>
        </w:numPr>
        <w:tabs>
          <w:tab w:val="left" w:pos="810"/>
          <w:tab w:val="left" w:pos="813"/>
        </w:tabs>
        <w:spacing w:before="120" w:line="259" w:lineRule="auto"/>
        <w:ind w:right="838"/>
        <w:jc w:val="both"/>
      </w:pPr>
      <w:r>
        <w:t>Replacing</w:t>
      </w:r>
      <w:r w:rsidR="00847905">
        <w:t xml:space="preserve"> the Income Tax Act provision on</w:t>
      </w:r>
      <w:r w:rsidR="00F837A4" w:rsidRPr="00FA5AF1">
        <w:t xml:space="preserve"> the 20% WHT on winnings with a 5% WHT on withdrawals</w:t>
      </w:r>
      <w:r w:rsidR="00F837A4" w:rsidRPr="003A0376">
        <w:t xml:space="preserve"> (i.e., the gross payout</w:t>
      </w:r>
      <w:r w:rsidR="00F837A4" w:rsidRPr="003A0376">
        <w:rPr>
          <w:spacing w:val="-4"/>
        </w:rPr>
        <w:t xml:space="preserve"> </w:t>
      </w:r>
      <w:r w:rsidR="00F837A4" w:rsidRPr="003A0376">
        <w:t>made</w:t>
      </w:r>
      <w:r w:rsidR="00F837A4" w:rsidRPr="003A0376">
        <w:rPr>
          <w:spacing w:val="-4"/>
        </w:rPr>
        <w:t xml:space="preserve"> </w:t>
      </w:r>
      <w:r w:rsidR="00F837A4" w:rsidRPr="003A0376">
        <w:t>which</w:t>
      </w:r>
      <w:r w:rsidR="00F837A4" w:rsidRPr="003A0376">
        <w:rPr>
          <w:spacing w:val="-4"/>
        </w:rPr>
        <w:t xml:space="preserve"> </w:t>
      </w:r>
      <w:r w:rsidR="00F837A4" w:rsidRPr="003A0376">
        <w:t>is</w:t>
      </w:r>
      <w:r w:rsidR="00F837A4" w:rsidRPr="003A0376">
        <w:rPr>
          <w:spacing w:val="-2"/>
        </w:rPr>
        <w:t xml:space="preserve"> </w:t>
      </w:r>
      <w:r w:rsidR="00F837A4" w:rsidRPr="003A0376">
        <w:t>the</w:t>
      </w:r>
      <w:r w:rsidR="00F837A4" w:rsidRPr="003A0376">
        <w:rPr>
          <w:spacing w:val="-2"/>
        </w:rPr>
        <w:t xml:space="preserve"> </w:t>
      </w:r>
      <w:r w:rsidR="00F837A4" w:rsidRPr="003A0376">
        <w:t>stake plus</w:t>
      </w:r>
      <w:r w:rsidR="00F837A4" w:rsidRPr="003A0376">
        <w:rPr>
          <w:spacing w:val="-2"/>
        </w:rPr>
        <w:t xml:space="preserve"> </w:t>
      </w:r>
      <w:r w:rsidR="00F837A4" w:rsidRPr="003A0376">
        <w:t>the</w:t>
      </w:r>
      <w:r w:rsidR="00F837A4" w:rsidRPr="003A0376">
        <w:rPr>
          <w:spacing w:val="-4"/>
        </w:rPr>
        <w:t xml:space="preserve"> </w:t>
      </w:r>
      <w:r w:rsidR="00F837A4" w:rsidRPr="003A0376">
        <w:t>winnings) remitted</w:t>
      </w:r>
      <w:r w:rsidR="00F837A4" w:rsidRPr="003A0376">
        <w:rPr>
          <w:spacing w:val="-2"/>
        </w:rPr>
        <w:t xml:space="preserve"> </w:t>
      </w:r>
      <w:r w:rsidR="00F837A4" w:rsidRPr="003A0376">
        <w:t>to</w:t>
      </w:r>
      <w:r w:rsidR="00F837A4" w:rsidRPr="003A0376">
        <w:rPr>
          <w:spacing w:val="-1"/>
        </w:rPr>
        <w:t xml:space="preserve"> </w:t>
      </w:r>
      <w:r w:rsidR="00F837A4" w:rsidRPr="003A0376">
        <w:t>punters</w:t>
      </w:r>
      <w:r w:rsidR="00F837A4" w:rsidRPr="003A0376">
        <w:rPr>
          <w:spacing w:val="-2"/>
        </w:rPr>
        <w:t xml:space="preserve"> </w:t>
      </w:r>
      <w:r w:rsidR="00F837A4" w:rsidRPr="003A0376">
        <w:t>/</w:t>
      </w:r>
      <w:r w:rsidR="00F837A4" w:rsidRPr="003A0376">
        <w:rPr>
          <w:spacing w:val="-1"/>
        </w:rPr>
        <w:t xml:space="preserve"> </w:t>
      </w:r>
      <w:r w:rsidR="00F837A4" w:rsidRPr="003A0376">
        <w:t>players</w:t>
      </w:r>
      <w:r w:rsidR="00F837A4" w:rsidRPr="003A0376">
        <w:rPr>
          <w:spacing w:val="-5"/>
        </w:rPr>
        <w:t xml:space="preserve"> </w:t>
      </w:r>
      <w:r w:rsidR="00F837A4" w:rsidRPr="003A0376">
        <w:t>on</w:t>
      </w:r>
      <w:r w:rsidR="00F837A4" w:rsidRPr="003A0376">
        <w:rPr>
          <w:spacing w:val="-3"/>
        </w:rPr>
        <w:t xml:space="preserve"> </w:t>
      </w:r>
      <w:r w:rsidR="00F837A4" w:rsidRPr="003A0376">
        <w:t>a daily basis; and</w:t>
      </w:r>
    </w:p>
    <w:p w14:paraId="173A941C" w14:textId="4779229C" w:rsidR="00F837A4" w:rsidRPr="003A0376" w:rsidRDefault="009251F1" w:rsidP="00F837A4">
      <w:pPr>
        <w:pStyle w:val="ListParagraph"/>
        <w:numPr>
          <w:ilvl w:val="0"/>
          <w:numId w:val="8"/>
        </w:numPr>
        <w:tabs>
          <w:tab w:val="left" w:pos="811"/>
          <w:tab w:val="left" w:pos="813"/>
        </w:tabs>
        <w:spacing w:before="119" w:line="259" w:lineRule="auto"/>
        <w:ind w:right="841"/>
        <w:jc w:val="both"/>
      </w:pPr>
      <w:r>
        <w:t>Replacing</w:t>
      </w:r>
      <w:r w:rsidR="00847905">
        <w:t xml:space="preserve"> the Excise </w:t>
      </w:r>
      <w:r w:rsidR="00841B04">
        <w:t>D</w:t>
      </w:r>
      <w:r w:rsidR="00847905">
        <w:t>uty Act</w:t>
      </w:r>
      <w:r>
        <w:t xml:space="preserve"> </w:t>
      </w:r>
      <w:r w:rsidR="00847905">
        <w:t xml:space="preserve">provision on </w:t>
      </w:r>
      <w:r w:rsidR="00F837A4" w:rsidRPr="003A0376">
        <w:t>the 1</w:t>
      </w:r>
      <w:r w:rsidR="00847905">
        <w:t>5</w:t>
      </w:r>
      <w:r w:rsidR="00F837A4" w:rsidRPr="003A0376">
        <w:t xml:space="preserve">% </w:t>
      </w:r>
      <w:r w:rsidR="00841B04">
        <w:t>E</w:t>
      </w:r>
      <w:r w:rsidR="00F837A4" w:rsidRPr="003A0376">
        <w:t xml:space="preserve">xcise </w:t>
      </w:r>
      <w:r w:rsidR="00841B04">
        <w:t>D</w:t>
      </w:r>
      <w:r w:rsidR="00F837A4" w:rsidRPr="003A0376">
        <w:t xml:space="preserve">uty on stakes with 5% </w:t>
      </w:r>
      <w:r w:rsidR="00841B04">
        <w:t>E</w:t>
      </w:r>
      <w:r w:rsidR="00F837A4" w:rsidRPr="003A0376">
        <w:t xml:space="preserve">xcise </w:t>
      </w:r>
      <w:r w:rsidR="00841B04">
        <w:t>D</w:t>
      </w:r>
      <w:r w:rsidR="00F837A4" w:rsidRPr="003A0376">
        <w:t>uty on deposits (all sums deposited by a customer in their online wallet inclusive of the stake) made by punters / players on a daily basis.</w:t>
      </w:r>
    </w:p>
    <w:p w14:paraId="47F29661" w14:textId="77777777" w:rsidR="00847905" w:rsidRDefault="00847905">
      <w:pPr>
        <w:pStyle w:val="BodyText"/>
        <w:spacing w:line="259" w:lineRule="auto"/>
        <w:ind w:right="836"/>
        <w:jc w:val="both"/>
      </w:pPr>
    </w:p>
    <w:p w14:paraId="31B39185" w14:textId="61160E90" w:rsidR="00345DA0" w:rsidRDefault="00847905">
      <w:pPr>
        <w:pStyle w:val="BodyText"/>
        <w:spacing w:line="259" w:lineRule="auto"/>
        <w:ind w:right="836"/>
        <w:jc w:val="both"/>
      </w:pPr>
      <w:r>
        <w:t>Our proposal will lead to a predictable and sustainable tax regime which will create certainty for investors to plan accordingly in investing in the sector leading to increased revenue collection in the long run. It is a fact that investors have held back from making significant capital investment as a</w:t>
      </w:r>
      <w:r>
        <w:rPr>
          <w:spacing w:val="40"/>
        </w:rPr>
        <w:t xml:space="preserve"> </w:t>
      </w:r>
      <w:r>
        <w:t>result of the constantly changing tax regime.</w:t>
      </w:r>
    </w:p>
    <w:p w14:paraId="50E26977" w14:textId="77777777" w:rsidR="00345DA0" w:rsidRDefault="00000000">
      <w:pPr>
        <w:pStyle w:val="BodyText"/>
        <w:spacing w:line="259" w:lineRule="auto"/>
        <w:ind w:right="841"/>
        <w:jc w:val="both"/>
      </w:pPr>
      <w:r>
        <w:t>Further, not only does the betting and gaming sector experience the most dynamic tax environment, but it also is the most taxed sector in Kenya. Currently, the taxes applicable in the sector include:</w:t>
      </w:r>
    </w:p>
    <w:p w14:paraId="06108A57" w14:textId="77777777" w:rsidR="00345DA0" w:rsidRDefault="00000000">
      <w:pPr>
        <w:pStyle w:val="ListParagraph"/>
        <w:numPr>
          <w:ilvl w:val="0"/>
          <w:numId w:val="9"/>
        </w:numPr>
        <w:tabs>
          <w:tab w:val="left" w:pos="810"/>
          <w:tab w:val="left" w:pos="813"/>
        </w:tabs>
        <w:spacing w:before="111" w:line="259" w:lineRule="auto"/>
        <w:ind w:right="833"/>
        <w:jc w:val="both"/>
      </w:pPr>
      <w:r>
        <w:t>Betting / gaming tax which is applicable at</w:t>
      </w:r>
      <w:r>
        <w:rPr>
          <w:spacing w:val="-1"/>
        </w:rPr>
        <w:t xml:space="preserve"> </w:t>
      </w:r>
      <w:r>
        <w:t>15% on the Gross Gaming Revenue (</w:t>
      </w:r>
      <w:r>
        <w:rPr>
          <w:b/>
        </w:rPr>
        <w:t>GGR</w:t>
      </w:r>
      <w:r>
        <w:t xml:space="preserve">) pursuant to the Betting, Lotteries and Gaming Act, Chapter 131, Laws of Kenya (the </w:t>
      </w:r>
      <w:r>
        <w:rPr>
          <w:b/>
          <w:spacing w:val="-2"/>
        </w:rPr>
        <w:t>BLGA</w:t>
      </w:r>
      <w:r>
        <w:rPr>
          <w:spacing w:val="-2"/>
        </w:rPr>
        <w:t>).</w:t>
      </w:r>
    </w:p>
    <w:p w14:paraId="4397E5C0" w14:textId="77777777" w:rsidR="00345DA0" w:rsidRDefault="00000000">
      <w:pPr>
        <w:pStyle w:val="ListParagraph"/>
        <w:numPr>
          <w:ilvl w:val="0"/>
          <w:numId w:val="9"/>
        </w:numPr>
        <w:tabs>
          <w:tab w:val="left" w:pos="811"/>
          <w:tab w:val="left" w:pos="813"/>
        </w:tabs>
        <w:spacing w:before="121" w:line="259" w:lineRule="auto"/>
        <w:ind w:right="843"/>
        <w:jc w:val="both"/>
      </w:pPr>
      <w:r>
        <w:t>Corporation income tax which is applicable at 30% on the business income of the betting and gaming operators.</w:t>
      </w:r>
    </w:p>
    <w:p w14:paraId="3555CECB" w14:textId="77777777" w:rsidR="00345DA0" w:rsidRDefault="00000000">
      <w:pPr>
        <w:pStyle w:val="ListParagraph"/>
        <w:numPr>
          <w:ilvl w:val="0"/>
          <w:numId w:val="9"/>
        </w:numPr>
        <w:tabs>
          <w:tab w:val="left" w:pos="811"/>
          <w:tab w:val="left" w:pos="813"/>
        </w:tabs>
        <w:spacing w:before="118" w:line="259" w:lineRule="auto"/>
        <w:ind w:right="837"/>
        <w:jc w:val="both"/>
      </w:pPr>
      <w:r>
        <w:t>Withholding Tax</w:t>
      </w:r>
      <w:r>
        <w:rPr>
          <w:spacing w:val="-1"/>
        </w:rPr>
        <w:t xml:space="preserve"> </w:t>
      </w:r>
      <w:r>
        <w:t>(</w:t>
      </w:r>
      <w:r>
        <w:rPr>
          <w:b/>
        </w:rPr>
        <w:t>WHT</w:t>
      </w:r>
      <w:r>
        <w:t>) which</w:t>
      </w:r>
      <w:r>
        <w:rPr>
          <w:spacing w:val="-1"/>
        </w:rPr>
        <w:t xml:space="preserve"> </w:t>
      </w:r>
      <w:r>
        <w:t>is applicable at</w:t>
      </w:r>
      <w:r>
        <w:rPr>
          <w:spacing w:val="-2"/>
        </w:rPr>
        <w:t xml:space="preserve"> </w:t>
      </w:r>
      <w:r>
        <w:t>20%</w:t>
      </w:r>
      <w:r>
        <w:rPr>
          <w:spacing w:val="-1"/>
        </w:rPr>
        <w:t xml:space="preserve"> </w:t>
      </w:r>
      <w:r>
        <w:t>on</w:t>
      </w:r>
      <w:r>
        <w:rPr>
          <w:spacing w:val="-3"/>
        </w:rPr>
        <w:t xml:space="preserve"> </w:t>
      </w:r>
      <w:r>
        <w:t>the winnings which</w:t>
      </w:r>
      <w:r>
        <w:rPr>
          <w:spacing w:val="-1"/>
        </w:rPr>
        <w:t xml:space="preserve"> </w:t>
      </w:r>
      <w:r>
        <w:t>is</w:t>
      </w:r>
      <w:r>
        <w:rPr>
          <w:spacing w:val="-2"/>
        </w:rPr>
        <w:t xml:space="preserve"> </w:t>
      </w:r>
      <w:r>
        <w:t>withheld from customers and remitted to the KRA.</w:t>
      </w:r>
    </w:p>
    <w:p w14:paraId="37EB05A2" w14:textId="4129C220" w:rsidR="00345DA0" w:rsidRDefault="00000000">
      <w:pPr>
        <w:pStyle w:val="ListParagraph"/>
        <w:numPr>
          <w:ilvl w:val="0"/>
          <w:numId w:val="9"/>
        </w:numPr>
        <w:tabs>
          <w:tab w:val="left" w:pos="811"/>
          <w:tab w:val="left" w:pos="813"/>
        </w:tabs>
        <w:spacing w:before="121" w:line="259" w:lineRule="auto"/>
        <w:ind w:right="839"/>
        <w:jc w:val="both"/>
      </w:pPr>
      <w:r>
        <w:t xml:space="preserve">Excise </w:t>
      </w:r>
      <w:r w:rsidR="00841B04">
        <w:t>D</w:t>
      </w:r>
      <w:r>
        <w:t>uty which is applicable at 1</w:t>
      </w:r>
      <w:r w:rsidR="00847905">
        <w:t>5</w:t>
      </w:r>
      <w:r>
        <w:t>% on the stakes placed by customers (therefore reducing the value of the stake in a betting and gaming transaction).</w:t>
      </w:r>
    </w:p>
    <w:p w14:paraId="4E43E10E" w14:textId="4B1A2920" w:rsidR="00345DA0" w:rsidRDefault="00000000">
      <w:pPr>
        <w:pStyle w:val="ListParagraph"/>
        <w:numPr>
          <w:ilvl w:val="0"/>
          <w:numId w:val="9"/>
        </w:numPr>
        <w:tabs>
          <w:tab w:val="left" w:pos="810"/>
          <w:tab w:val="left" w:pos="813"/>
        </w:tabs>
        <w:spacing w:before="118" w:line="259" w:lineRule="auto"/>
        <w:ind w:right="839"/>
        <w:jc w:val="both"/>
      </w:pPr>
      <w:r>
        <w:lastRenderedPageBreak/>
        <w:t xml:space="preserve">Excise </w:t>
      </w:r>
      <w:r w:rsidR="00841B04">
        <w:t>D</w:t>
      </w:r>
      <w:r>
        <w:t>uty which is applicable at 15% on the fees charged on advertisement of betting and gaming services.</w:t>
      </w:r>
    </w:p>
    <w:p w14:paraId="7FCA5BF3" w14:textId="77777777" w:rsidR="00847905" w:rsidRDefault="00847905">
      <w:pPr>
        <w:pStyle w:val="BodyText"/>
        <w:spacing w:line="259" w:lineRule="auto"/>
        <w:ind w:right="831"/>
        <w:jc w:val="both"/>
      </w:pPr>
    </w:p>
    <w:p w14:paraId="199C2A1F" w14:textId="7AC8AE0E" w:rsidR="00345DA0" w:rsidRDefault="00000000">
      <w:pPr>
        <w:pStyle w:val="BodyText"/>
        <w:spacing w:line="259" w:lineRule="auto"/>
        <w:ind w:right="831"/>
        <w:jc w:val="both"/>
      </w:pPr>
      <w:r>
        <w:t>In the region, Kenya is the only country that charges multiple taxes in the sector. Uganda, Tanzania and Rwanda only impose tax on the GGR and therefore operators in Kenya carry a heavy tax burden.</w:t>
      </w:r>
    </w:p>
    <w:p w14:paraId="65CBD03D" w14:textId="45A897A7" w:rsidR="00345DA0" w:rsidRDefault="00000000">
      <w:pPr>
        <w:pStyle w:val="BodyText"/>
        <w:spacing w:before="118" w:line="259" w:lineRule="auto"/>
        <w:ind w:right="834"/>
        <w:jc w:val="both"/>
      </w:pPr>
      <w:r>
        <w:t>In</w:t>
      </w:r>
      <w:r>
        <w:rPr>
          <w:spacing w:val="-3"/>
        </w:rPr>
        <w:t xml:space="preserve"> </w:t>
      </w:r>
      <w:r>
        <w:t>view</w:t>
      </w:r>
      <w:r>
        <w:rPr>
          <w:spacing w:val="-3"/>
        </w:rPr>
        <w:t xml:space="preserve"> </w:t>
      </w:r>
      <w:r>
        <w:t>of</w:t>
      </w:r>
      <w:r>
        <w:rPr>
          <w:spacing w:val="-1"/>
        </w:rPr>
        <w:t xml:space="preserve"> </w:t>
      </w:r>
      <w:r>
        <w:t>the</w:t>
      </w:r>
      <w:r>
        <w:rPr>
          <w:spacing w:val="-1"/>
        </w:rPr>
        <w:t xml:space="preserve"> </w:t>
      </w:r>
      <w:r>
        <w:t>foregoing,</w:t>
      </w:r>
      <w:r>
        <w:rPr>
          <w:spacing w:val="-3"/>
        </w:rPr>
        <w:t xml:space="preserve"> </w:t>
      </w:r>
      <w:r>
        <w:t>we</w:t>
      </w:r>
      <w:r>
        <w:rPr>
          <w:spacing w:val="-1"/>
        </w:rPr>
        <w:t xml:space="preserve"> </w:t>
      </w:r>
      <w:r>
        <w:t>have</w:t>
      </w:r>
      <w:r>
        <w:rPr>
          <w:spacing w:val="-3"/>
        </w:rPr>
        <w:t xml:space="preserve"> </w:t>
      </w:r>
      <w:r>
        <w:t>set</w:t>
      </w:r>
      <w:r>
        <w:rPr>
          <w:spacing w:val="-3"/>
        </w:rPr>
        <w:t xml:space="preserve"> </w:t>
      </w:r>
      <w:r>
        <w:t>out</w:t>
      </w:r>
      <w:r>
        <w:rPr>
          <w:spacing w:val="-3"/>
        </w:rPr>
        <w:t xml:space="preserve"> </w:t>
      </w:r>
      <w:r>
        <w:t>our legislative proposals</w:t>
      </w:r>
      <w:r>
        <w:rPr>
          <w:spacing w:val="-1"/>
        </w:rPr>
        <w:t xml:space="preserve"> </w:t>
      </w:r>
      <w:r>
        <w:t>below and should be grateful for the Committee to consider the</w:t>
      </w:r>
      <w:r w:rsidR="00847905">
        <w:t>m</w:t>
      </w:r>
      <w:r>
        <w:t xml:space="preserve"> for inclusion in the resulting Act.</w:t>
      </w:r>
    </w:p>
    <w:p w14:paraId="5700AAFF" w14:textId="77777777" w:rsidR="00345DA0" w:rsidRDefault="00345DA0">
      <w:pPr>
        <w:pStyle w:val="BodyText"/>
        <w:spacing w:before="110"/>
        <w:ind w:left="0"/>
        <w:rPr>
          <w:sz w:val="20"/>
        </w:rPr>
      </w:pPr>
    </w:p>
    <w:p w14:paraId="4FACD59F" w14:textId="77777777" w:rsidR="00345DA0" w:rsidRDefault="00345DA0">
      <w:pPr>
        <w:rPr>
          <w:sz w:val="20"/>
        </w:rPr>
        <w:sectPr w:rsidR="00345DA0">
          <w:headerReference w:type="default" r:id="rId7"/>
          <w:footerReference w:type="default" r:id="rId8"/>
          <w:pgSz w:w="11910" w:h="16840"/>
          <w:pgMar w:top="1920" w:right="1320" w:bottom="280" w:left="1340" w:header="720" w:footer="720" w:gutter="0"/>
          <w:cols w:space="720"/>
        </w:sectPr>
      </w:pPr>
    </w:p>
    <w:p w14:paraId="348C1E90" w14:textId="77777777" w:rsidR="00345DA0" w:rsidRDefault="00000000">
      <w:pPr>
        <w:pStyle w:val="BodyText"/>
        <w:spacing w:before="56"/>
      </w:pPr>
      <w:r>
        <w:t>Yours</w:t>
      </w:r>
      <w:r>
        <w:rPr>
          <w:spacing w:val="-2"/>
        </w:rPr>
        <w:t xml:space="preserve"> sincerely,</w:t>
      </w:r>
    </w:p>
    <w:p w14:paraId="0F8076B9" w14:textId="77777777" w:rsidR="00345DA0" w:rsidRDefault="00345DA0"/>
    <w:p w14:paraId="0970DADE" w14:textId="77777777" w:rsidR="00F837A4" w:rsidRDefault="00F837A4"/>
    <w:p w14:paraId="304CA657" w14:textId="77777777" w:rsidR="00F837A4" w:rsidRDefault="00F837A4"/>
    <w:p w14:paraId="72CAF31D" w14:textId="30F64FAB" w:rsidR="00F837A4" w:rsidRDefault="00F837A4">
      <w:pPr>
        <w:sectPr w:rsidR="00F837A4">
          <w:type w:val="continuous"/>
          <w:pgSz w:w="11910" w:h="16840"/>
          <w:pgMar w:top="1920" w:right="1320" w:bottom="280" w:left="1340" w:header="720" w:footer="720" w:gutter="0"/>
          <w:cols w:num="2" w:space="720" w:equalWidth="0">
            <w:col w:w="3862" w:space="1520"/>
            <w:col w:w="3868"/>
          </w:cols>
        </w:sectPr>
      </w:pPr>
      <w:r>
        <w:t>………………………………….</w:t>
      </w:r>
    </w:p>
    <w:p w14:paraId="6EDD87E8" w14:textId="06D1704B" w:rsidR="00345DA0" w:rsidRDefault="000D3C05">
      <w:pPr>
        <w:spacing w:before="93"/>
        <w:ind w:left="3930"/>
        <w:rPr>
          <w:b/>
        </w:rPr>
      </w:pPr>
      <w:r>
        <w:rPr>
          <w:b/>
          <w:u w:val="single"/>
        </w:rPr>
        <w:lastRenderedPageBreak/>
        <w:t xml:space="preserve">FINANCE </w:t>
      </w:r>
      <w:r w:rsidR="009032B5">
        <w:rPr>
          <w:b/>
          <w:u w:val="single"/>
        </w:rPr>
        <w:t>BILL</w:t>
      </w:r>
      <w:r w:rsidR="00616092">
        <w:rPr>
          <w:b/>
          <w:u w:val="single"/>
        </w:rPr>
        <w:t>,</w:t>
      </w:r>
      <w:r w:rsidR="00616092">
        <w:rPr>
          <w:b/>
          <w:spacing w:val="-4"/>
          <w:u w:val="single"/>
        </w:rPr>
        <w:t xml:space="preserve"> </w:t>
      </w:r>
      <w:r w:rsidR="00616092">
        <w:rPr>
          <w:b/>
          <w:u w:val="single"/>
        </w:rPr>
        <w:t>202</w:t>
      </w:r>
      <w:r>
        <w:rPr>
          <w:b/>
          <w:u w:val="single"/>
        </w:rPr>
        <w:t xml:space="preserve">5 </w:t>
      </w:r>
      <w:r w:rsidR="00616092">
        <w:rPr>
          <w:b/>
          <w:u w:val="single"/>
        </w:rPr>
        <w:t>–</w:t>
      </w:r>
      <w:r w:rsidR="00616092">
        <w:rPr>
          <w:b/>
          <w:spacing w:val="-5"/>
          <w:u w:val="single"/>
        </w:rPr>
        <w:t xml:space="preserve"> </w:t>
      </w:r>
      <w:r w:rsidR="00616092">
        <w:rPr>
          <w:b/>
          <w:u w:val="single"/>
        </w:rPr>
        <w:t>PROPOSALS</w:t>
      </w:r>
      <w:r w:rsidR="00616092">
        <w:rPr>
          <w:b/>
          <w:spacing w:val="-5"/>
          <w:u w:val="single"/>
        </w:rPr>
        <w:t xml:space="preserve"> </w:t>
      </w:r>
      <w:r w:rsidR="00616092">
        <w:rPr>
          <w:b/>
          <w:u w:val="single"/>
        </w:rPr>
        <w:t>RELATED</w:t>
      </w:r>
      <w:r w:rsidR="00616092">
        <w:rPr>
          <w:b/>
          <w:spacing w:val="-5"/>
          <w:u w:val="single"/>
        </w:rPr>
        <w:t xml:space="preserve"> </w:t>
      </w:r>
      <w:r w:rsidR="00616092">
        <w:rPr>
          <w:b/>
          <w:u w:val="single"/>
        </w:rPr>
        <w:t>TO</w:t>
      </w:r>
      <w:r w:rsidR="00616092">
        <w:rPr>
          <w:b/>
          <w:spacing w:val="-6"/>
          <w:u w:val="single"/>
        </w:rPr>
        <w:t xml:space="preserve"> </w:t>
      </w:r>
      <w:r w:rsidR="00616092">
        <w:rPr>
          <w:b/>
          <w:u w:val="single"/>
        </w:rPr>
        <w:t>THE</w:t>
      </w:r>
      <w:r w:rsidR="00616092">
        <w:rPr>
          <w:b/>
          <w:spacing w:val="-5"/>
          <w:u w:val="single"/>
        </w:rPr>
        <w:t xml:space="preserve"> </w:t>
      </w:r>
      <w:r w:rsidR="00616092">
        <w:rPr>
          <w:b/>
          <w:u w:val="single"/>
        </w:rPr>
        <w:t>BETTING</w:t>
      </w:r>
      <w:r w:rsidR="00616092">
        <w:rPr>
          <w:b/>
          <w:spacing w:val="-5"/>
          <w:u w:val="single"/>
        </w:rPr>
        <w:t xml:space="preserve"> </w:t>
      </w:r>
      <w:r w:rsidR="00616092">
        <w:rPr>
          <w:b/>
          <w:u w:val="single"/>
        </w:rPr>
        <w:t>AND</w:t>
      </w:r>
      <w:r w:rsidR="00616092">
        <w:rPr>
          <w:b/>
          <w:spacing w:val="-5"/>
          <w:u w:val="single"/>
        </w:rPr>
        <w:t xml:space="preserve"> </w:t>
      </w:r>
      <w:r w:rsidR="00616092">
        <w:rPr>
          <w:b/>
          <w:u w:val="single"/>
        </w:rPr>
        <w:t>GAMING</w:t>
      </w:r>
      <w:r w:rsidR="00616092">
        <w:rPr>
          <w:b/>
          <w:spacing w:val="-5"/>
          <w:u w:val="single"/>
        </w:rPr>
        <w:t xml:space="preserve"> </w:t>
      </w:r>
      <w:r w:rsidR="00616092">
        <w:rPr>
          <w:b/>
          <w:spacing w:val="-2"/>
          <w:u w:val="single"/>
        </w:rPr>
        <w:t>SECTOR</w:t>
      </w:r>
    </w:p>
    <w:p w14:paraId="43B3D088" w14:textId="77777777" w:rsidR="00345DA0" w:rsidRDefault="00345DA0">
      <w:pPr>
        <w:pStyle w:val="BodyText"/>
        <w:spacing w:before="10"/>
        <w:ind w:left="0"/>
        <w:rPr>
          <w:b/>
          <w:sz w:val="14"/>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9"/>
        <w:gridCol w:w="3118"/>
        <w:gridCol w:w="5103"/>
        <w:gridCol w:w="5530"/>
      </w:tblGrid>
      <w:tr w:rsidR="00345DA0" w14:paraId="15B57ABC" w14:textId="77777777" w:rsidTr="00E76BB6">
        <w:trPr>
          <w:trHeight w:val="508"/>
          <w:tblHeader/>
        </w:trPr>
        <w:tc>
          <w:tcPr>
            <w:tcW w:w="2129" w:type="dxa"/>
            <w:shd w:val="clear" w:color="auto" w:fill="FFC000"/>
          </w:tcPr>
          <w:p w14:paraId="6453D7FB" w14:textId="77777777" w:rsidR="00345DA0" w:rsidRDefault="00000000">
            <w:pPr>
              <w:pStyle w:val="TableParagraph"/>
              <w:spacing w:before="121"/>
              <w:ind w:left="299"/>
              <w:jc w:val="left"/>
              <w:rPr>
                <w:b/>
              </w:rPr>
            </w:pPr>
            <w:r>
              <w:rPr>
                <w:b/>
              </w:rPr>
              <w:t>Clause</w:t>
            </w:r>
            <w:r>
              <w:rPr>
                <w:b/>
                <w:spacing w:val="-5"/>
              </w:rPr>
              <w:t xml:space="preserve"> </w:t>
            </w:r>
            <w:r>
              <w:rPr>
                <w:b/>
              </w:rPr>
              <w:t>of</w:t>
            </w:r>
            <w:r>
              <w:rPr>
                <w:b/>
                <w:spacing w:val="-2"/>
              </w:rPr>
              <w:t xml:space="preserve"> </w:t>
            </w:r>
            <w:r>
              <w:rPr>
                <w:b/>
              </w:rPr>
              <w:t>the</w:t>
            </w:r>
            <w:r>
              <w:rPr>
                <w:b/>
                <w:spacing w:val="-6"/>
              </w:rPr>
              <w:t xml:space="preserve"> </w:t>
            </w:r>
            <w:r>
              <w:rPr>
                <w:b/>
                <w:spacing w:val="-4"/>
              </w:rPr>
              <w:t>Bill</w:t>
            </w:r>
          </w:p>
        </w:tc>
        <w:tc>
          <w:tcPr>
            <w:tcW w:w="3118" w:type="dxa"/>
            <w:shd w:val="clear" w:color="auto" w:fill="FFC000"/>
          </w:tcPr>
          <w:p w14:paraId="7F91AB92" w14:textId="77777777" w:rsidR="00345DA0" w:rsidRDefault="00000000">
            <w:pPr>
              <w:pStyle w:val="TableParagraph"/>
              <w:spacing w:before="121"/>
              <w:ind w:left="964"/>
              <w:jc w:val="left"/>
              <w:rPr>
                <w:b/>
              </w:rPr>
            </w:pPr>
            <w:r>
              <w:rPr>
                <w:b/>
                <w:spacing w:val="-2"/>
              </w:rPr>
              <w:t>Issue</w:t>
            </w:r>
          </w:p>
        </w:tc>
        <w:tc>
          <w:tcPr>
            <w:tcW w:w="5103" w:type="dxa"/>
            <w:shd w:val="clear" w:color="auto" w:fill="FFC000"/>
          </w:tcPr>
          <w:p w14:paraId="126FF5C1" w14:textId="77777777" w:rsidR="00345DA0" w:rsidRDefault="00000000">
            <w:pPr>
              <w:pStyle w:val="TableParagraph"/>
              <w:spacing w:before="121"/>
              <w:ind w:left="1334"/>
              <w:jc w:val="left"/>
              <w:rPr>
                <w:b/>
              </w:rPr>
            </w:pPr>
            <w:r>
              <w:rPr>
                <w:b/>
                <w:spacing w:val="-2"/>
              </w:rPr>
              <w:t>Recommendations</w:t>
            </w:r>
          </w:p>
        </w:tc>
        <w:tc>
          <w:tcPr>
            <w:tcW w:w="5530" w:type="dxa"/>
            <w:shd w:val="clear" w:color="auto" w:fill="FFC000"/>
          </w:tcPr>
          <w:p w14:paraId="6C33AE60" w14:textId="77777777" w:rsidR="00345DA0" w:rsidRDefault="00000000">
            <w:pPr>
              <w:pStyle w:val="TableParagraph"/>
              <w:spacing w:before="121"/>
              <w:ind w:left="0" w:right="705"/>
              <w:jc w:val="center"/>
              <w:rPr>
                <w:b/>
              </w:rPr>
            </w:pPr>
            <w:r>
              <w:rPr>
                <w:b/>
                <w:spacing w:val="-2"/>
              </w:rPr>
              <w:t>Justification</w:t>
            </w:r>
          </w:p>
        </w:tc>
      </w:tr>
      <w:tr w:rsidR="00741872" w14:paraId="24A988F3" w14:textId="77777777">
        <w:trPr>
          <w:trHeight w:val="8002"/>
        </w:trPr>
        <w:tc>
          <w:tcPr>
            <w:tcW w:w="2129" w:type="dxa"/>
          </w:tcPr>
          <w:p w14:paraId="6AEB052F" w14:textId="63C72DA3" w:rsidR="00E87F6E" w:rsidRDefault="00E87F6E" w:rsidP="00741872">
            <w:pPr>
              <w:pStyle w:val="TableParagraph"/>
              <w:spacing w:before="1"/>
              <w:ind w:right="96"/>
            </w:pPr>
            <w:r>
              <w:t xml:space="preserve">2. Section 2 of the Income Tax Act is amended – </w:t>
            </w:r>
          </w:p>
          <w:p w14:paraId="72ABE941" w14:textId="3343E46E" w:rsidR="00E87F6E" w:rsidRDefault="00E87F6E" w:rsidP="00E87F6E">
            <w:pPr>
              <w:pStyle w:val="TableParagraph"/>
              <w:spacing w:before="120"/>
              <w:ind w:left="208"/>
            </w:pPr>
            <w:r>
              <w:t xml:space="preserve">a) In subsection (1) </w:t>
            </w:r>
          </w:p>
          <w:p w14:paraId="19E6C6DB" w14:textId="77777777" w:rsidR="00E87F6E" w:rsidRDefault="00E87F6E" w:rsidP="00741872">
            <w:pPr>
              <w:pStyle w:val="TableParagraph"/>
              <w:spacing w:before="1"/>
              <w:ind w:right="96"/>
            </w:pPr>
          </w:p>
          <w:p w14:paraId="3AE1B540" w14:textId="4E9F2FF2" w:rsidR="00741872" w:rsidRDefault="00741872" w:rsidP="00E87F6E">
            <w:pPr>
              <w:pStyle w:val="TableParagraph"/>
              <w:spacing w:before="1"/>
              <w:ind w:right="96"/>
            </w:pPr>
            <w:r>
              <w:t xml:space="preserve">5. Section 10 of the Income Tax Act is amended in subsection (1) (g), </w:t>
            </w:r>
          </w:p>
          <w:p w14:paraId="1629A2DE" w14:textId="77777777" w:rsidR="00E87F6E" w:rsidRDefault="00E87F6E" w:rsidP="00E87F6E">
            <w:pPr>
              <w:pStyle w:val="TableParagraph"/>
              <w:spacing w:before="1"/>
              <w:ind w:right="96"/>
            </w:pPr>
          </w:p>
          <w:p w14:paraId="2410F5DA" w14:textId="2B36EC37" w:rsidR="00E87F6E" w:rsidRDefault="00E87F6E" w:rsidP="00E87F6E">
            <w:pPr>
              <w:pStyle w:val="TableParagraph"/>
              <w:spacing w:before="1"/>
              <w:ind w:right="96"/>
            </w:pPr>
            <w:r>
              <w:t>16. By inserting Section 34 (1) (m) and 34 (2) (i) before Section 35.</w:t>
            </w:r>
          </w:p>
          <w:p w14:paraId="5C9283EF" w14:textId="77777777" w:rsidR="00E87F6E" w:rsidRDefault="00E87F6E" w:rsidP="00E87F6E">
            <w:pPr>
              <w:pStyle w:val="TableParagraph"/>
              <w:spacing w:before="1"/>
              <w:ind w:right="96"/>
            </w:pPr>
          </w:p>
          <w:p w14:paraId="51BBE651" w14:textId="3F5C3D8F" w:rsidR="00E87F6E" w:rsidRDefault="00E87F6E" w:rsidP="00E87F6E">
            <w:pPr>
              <w:pStyle w:val="TableParagraph"/>
              <w:spacing w:before="1"/>
              <w:ind w:right="96"/>
            </w:pPr>
            <w:r>
              <w:t>17. Section 35 of the Income Tax Act is amended in sub section (1) (i) , (3) (h) and 5A</w:t>
            </w:r>
          </w:p>
          <w:p w14:paraId="29942454" w14:textId="6306CB2A" w:rsidR="00741872" w:rsidRDefault="00E87F6E" w:rsidP="004A101F">
            <w:pPr>
              <w:pStyle w:val="TableParagraph"/>
              <w:spacing w:before="119"/>
            </w:pPr>
            <w:r>
              <w:t>28</w:t>
            </w:r>
            <w:r w:rsidR="004A101F">
              <w:t>.T</w:t>
            </w:r>
            <w:r>
              <w:t>he Third Sc</w:t>
            </w:r>
            <w:r w:rsidR="004A101F">
              <w:t>he</w:t>
            </w:r>
            <w:r>
              <w:t>dule to the Income Tax Act is amended in Head B</w:t>
            </w:r>
            <w:r w:rsidR="004A101F">
              <w:t xml:space="preserve"> by inserting</w:t>
            </w:r>
            <w:r>
              <w:t xml:space="preserve"> – Paragraph 3(i)</w:t>
            </w:r>
            <w:r w:rsidR="004A101F">
              <w:t xml:space="preserve"> under (c)</w:t>
            </w:r>
          </w:p>
          <w:p w14:paraId="629ECACD" w14:textId="5AC46369" w:rsidR="004A101F" w:rsidRDefault="004A101F" w:rsidP="00E77D16">
            <w:pPr>
              <w:pStyle w:val="TableParagraph"/>
              <w:spacing w:before="119"/>
            </w:pPr>
            <w:r>
              <w:t>by inserting – Paragraph 5(i) under (c)</w:t>
            </w:r>
          </w:p>
        </w:tc>
        <w:tc>
          <w:tcPr>
            <w:tcW w:w="3118" w:type="dxa"/>
          </w:tcPr>
          <w:p w14:paraId="58ABE157" w14:textId="77777777" w:rsidR="00741872" w:rsidRDefault="00741872" w:rsidP="00741872">
            <w:pPr>
              <w:pStyle w:val="TableParagraph"/>
              <w:spacing w:line="268" w:lineRule="exact"/>
              <w:rPr>
                <w:b/>
              </w:rPr>
            </w:pPr>
            <w:r>
              <w:rPr>
                <w:b/>
                <w:color w:val="FFC000"/>
              </w:rPr>
              <w:t>Applicability</w:t>
            </w:r>
            <w:r>
              <w:rPr>
                <w:b/>
                <w:color w:val="FFC000"/>
                <w:spacing w:val="-5"/>
              </w:rPr>
              <w:t xml:space="preserve"> </w:t>
            </w:r>
            <w:r>
              <w:rPr>
                <w:b/>
                <w:color w:val="FFC000"/>
              </w:rPr>
              <w:t>of</w:t>
            </w:r>
            <w:r>
              <w:rPr>
                <w:b/>
                <w:color w:val="FFC000"/>
                <w:spacing w:val="-4"/>
              </w:rPr>
              <w:t xml:space="preserve"> </w:t>
            </w:r>
            <w:r>
              <w:rPr>
                <w:b/>
                <w:color w:val="FFC000"/>
              </w:rPr>
              <w:t>WHT</w:t>
            </w:r>
            <w:r>
              <w:rPr>
                <w:b/>
                <w:color w:val="FFC000"/>
                <w:spacing w:val="-4"/>
              </w:rPr>
              <w:t xml:space="preserve"> </w:t>
            </w:r>
            <w:r>
              <w:rPr>
                <w:b/>
                <w:color w:val="FFC000"/>
              </w:rPr>
              <w:t>on</w:t>
            </w:r>
            <w:r>
              <w:rPr>
                <w:b/>
                <w:color w:val="FFC000"/>
                <w:spacing w:val="-4"/>
              </w:rPr>
              <w:t xml:space="preserve"> </w:t>
            </w:r>
            <w:r>
              <w:rPr>
                <w:b/>
                <w:color w:val="FFC000"/>
                <w:spacing w:val="-2"/>
              </w:rPr>
              <w:t>Winnings</w:t>
            </w:r>
          </w:p>
          <w:p w14:paraId="5209A510" w14:textId="77777777" w:rsidR="00741872" w:rsidRDefault="00741872" w:rsidP="00741872">
            <w:pPr>
              <w:pStyle w:val="TableParagraph"/>
              <w:spacing w:before="119"/>
              <w:ind w:left="105" w:right="95"/>
            </w:pPr>
            <w:r>
              <w:t>Currently, WHT in the sector applies at the rate of 20% on</w:t>
            </w:r>
            <w:r>
              <w:rPr>
                <w:spacing w:val="-2"/>
              </w:rPr>
              <w:t xml:space="preserve"> </w:t>
            </w:r>
            <w:r>
              <w:t>winnings</w:t>
            </w:r>
            <w:r>
              <w:rPr>
                <w:spacing w:val="-2"/>
              </w:rPr>
              <w:t xml:space="preserve"> </w:t>
            </w:r>
            <w:r>
              <w:t>which</w:t>
            </w:r>
            <w:r>
              <w:rPr>
                <w:spacing w:val="-3"/>
              </w:rPr>
              <w:t xml:space="preserve"> </w:t>
            </w:r>
            <w:r>
              <w:t>has</w:t>
            </w:r>
            <w:r>
              <w:rPr>
                <w:spacing w:val="-4"/>
              </w:rPr>
              <w:t xml:space="preserve"> </w:t>
            </w:r>
            <w:r>
              <w:t>been</w:t>
            </w:r>
            <w:r>
              <w:rPr>
                <w:spacing w:val="-2"/>
              </w:rPr>
              <w:t xml:space="preserve"> </w:t>
            </w:r>
            <w:r>
              <w:t>defined and</w:t>
            </w:r>
            <w:r>
              <w:rPr>
                <w:spacing w:val="-2"/>
              </w:rPr>
              <w:t xml:space="preserve"> </w:t>
            </w:r>
            <w:r>
              <w:t>interpreted</w:t>
            </w:r>
            <w:r>
              <w:rPr>
                <w:spacing w:val="-5"/>
              </w:rPr>
              <w:t xml:space="preserve"> </w:t>
            </w:r>
            <w:r>
              <w:t>by the courts as the difference between the amount staked or waged by a customer, and the gross payout made by a betting or gaming operator.</w:t>
            </w:r>
          </w:p>
          <w:p w14:paraId="55CC4F95" w14:textId="77777777" w:rsidR="00E77D16" w:rsidRPr="00E77D16" w:rsidRDefault="00E77D16" w:rsidP="00E77D16"/>
          <w:p w14:paraId="546A1B82" w14:textId="77777777" w:rsidR="00E77D16" w:rsidRPr="00E77D16" w:rsidRDefault="00E77D16" w:rsidP="00E77D16"/>
          <w:p w14:paraId="035D00DA" w14:textId="77777777" w:rsidR="00E77D16" w:rsidRPr="00E77D16" w:rsidRDefault="00E77D16" w:rsidP="00E77D16"/>
          <w:p w14:paraId="062FE06A" w14:textId="77777777" w:rsidR="00E77D16" w:rsidRPr="00E77D16" w:rsidRDefault="00E77D16" w:rsidP="00E77D16"/>
          <w:p w14:paraId="08478399" w14:textId="77777777" w:rsidR="00E77D16" w:rsidRPr="00E77D16" w:rsidRDefault="00E77D16" w:rsidP="00E77D16"/>
          <w:p w14:paraId="4CC5C676" w14:textId="77777777" w:rsidR="00E77D16" w:rsidRPr="00E77D16" w:rsidRDefault="00E77D16" w:rsidP="00E77D16"/>
          <w:p w14:paraId="030B023D" w14:textId="77777777" w:rsidR="00E77D16" w:rsidRPr="00E77D16" w:rsidRDefault="00E77D16" w:rsidP="00E77D16"/>
          <w:p w14:paraId="324AE9D2" w14:textId="77777777" w:rsidR="00E77D16" w:rsidRPr="00E77D16" w:rsidRDefault="00E77D16" w:rsidP="00E77D16"/>
          <w:p w14:paraId="2F6CE754" w14:textId="77777777" w:rsidR="00E77D16" w:rsidRPr="00E77D16" w:rsidRDefault="00E77D16" w:rsidP="00E77D16"/>
          <w:p w14:paraId="3158B988" w14:textId="77777777" w:rsidR="00E77D16" w:rsidRPr="00E77D16" w:rsidRDefault="00E77D16" w:rsidP="00E77D16"/>
          <w:p w14:paraId="295187C5" w14:textId="77777777" w:rsidR="00E77D16" w:rsidRPr="00E77D16" w:rsidRDefault="00E77D16" w:rsidP="00E77D16"/>
          <w:p w14:paraId="1C044394" w14:textId="77777777" w:rsidR="00E77D16" w:rsidRPr="00E77D16" w:rsidRDefault="00E77D16" w:rsidP="00E77D16"/>
          <w:p w14:paraId="2DE462DD" w14:textId="54F09CFF" w:rsidR="00E77D16" w:rsidRPr="00E77D16" w:rsidRDefault="00E77D16" w:rsidP="00E77D16"/>
        </w:tc>
        <w:tc>
          <w:tcPr>
            <w:tcW w:w="5103" w:type="dxa"/>
          </w:tcPr>
          <w:p w14:paraId="2AF42237" w14:textId="77777777" w:rsidR="00741872" w:rsidRDefault="00741872" w:rsidP="00741872">
            <w:pPr>
              <w:pStyle w:val="TableParagraph"/>
              <w:ind w:left="108" w:right="129"/>
            </w:pPr>
            <w:r>
              <w:t>We propose to replace the 20% WHT on winnings</w:t>
            </w:r>
            <w:r>
              <w:rPr>
                <w:spacing w:val="40"/>
              </w:rPr>
              <w:t xml:space="preserve"> </w:t>
            </w:r>
            <w:r>
              <w:t>with a</w:t>
            </w:r>
            <w:r>
              <w:rPr>
                <w:spacing w:val="-1"/>
              </w:rPr>
              <w:t xml:space="preserve"> </w:t>
            </w:r>
            <w:r>
              <w:t>5%</w:t>
            </w:r>
            <w:r>
              <w:rPr>
                <w:spacing w:val="-1"/>
              </w:rPr>
              <w:t xml:space="preserve"> </w:t>
            </w:r>
            <w:r>
              <w:t xml:space="preserve">WHT </w:t>
            </w:r>
            <w:r>
              <w:rPr>
                <w:b/>
              </w:rPr>
              <w:t>on</w:t>
            </w:r>
            <w:r>
              <w:rPr>
                <w:b/>
                <w:spacing w:val="-1"/>
              </w:rPr>
              <w:t xml:space="preserve"> </w:t>
            </w:r>
            <w:r>
              <w:rPr>
                <w:b/>
              </w:rPr>
              <w:t xml:space="preserve">withdrawals </w:t>
            </w:r>
            <w:r>
              <w:t>(i.e.,</w:t>
            </w:r>
            <w:r>
              <w:rPr>
                <w:spacing w:val="-1"/>
              </w:rPr>
              <w:t xml:space="preserve"> </w:t>
            </w:r>
            <w:r>
              <w:t>the</w:t>
            </w:r>
            <w:r>
              <w:rPr>
                <w:spacing w:val="-1"/>
              </w:rPr>
              <w:t xml:space="preserve"> </w:t>
            </w:r>
            <w:r>
              <w:t>gross payout made which is the stake plus the winnings) remitted to punters / players on a daily basis. In our view, this will allow a transparent and fair compliance mechanism</w:t>
            </w:r>
            <w:r>
              <w:rPr>
                <w:spacing w:val="-4"/>
              </w:rPr>
              <w:t xml:space="preserve"> </w:t>
            </w:r>
            <w:r>
              <w:t>for</w:t>
            </w:r>
            <w:r>
              <w:rPr>
                <w:spacing w:val="-4"/>
              </w:rPr>
              <w:t xml:space="preserve"> </w:t>
            </w:r>
            <w:r>
              <w:t>the</w:t>
            </w:r>
            <w:r>
              <w:rPr>
                <w:spacing w:val="-4"/>
              </w:rPr>
              <w:t xml:space="preserve"> </w:t>
            </w:r>
            <w:r>
              <w:t>industry.</w:t>
            </w:r>
            <w:r>
              <w:rPr>
                <w:spacing w:val="-3"/>
              </w:rPr>
              <w:t xml:space="preserve"> </w:t>
            </w:r>
            <w:r>
              <w:t>Transparency</w:t>
            </w:r>
            <w:r>
              <w:rPr>
                <w:spacing w:val="-6"/>
              </w:rPr>
              <w:t xml:space="preserve"> </w:t>
            </w:r>
            <w:r>
              <w:t>means</w:t>
            </w:r>
            <w:r>
              <w:rPr>
                <w:spacing w:val="-5"/>
              </w:rPr>
              <w:t xml:space="preserve"> </w:t>
            </w:r>
            <w:r>
              <w:t>that the tax revenues are easy to verify and audit.</w:t>
            </w:r>
          </w:p>
          <w:p w14:paraId="72D172CA" w14:textId="77777777" w:rsidR="00741872" w:rsidRDefault="00741872" w:rsidP="00741872">
            <w:pPr>
              <w:pStyle w:val="TableParagraph"/>
              <w:spacing w:before="119"/>
              <w:ind w:left="108" w:right="132"/>
            </w:pPr>
            <w:r>
              <w:t>In this regard, we propose that the Income Tax Act, Chapter 470, Laws of Kenya is amended –</w:t>
            </w:r>
          </w:p>
          <w:p w14:paraId="682DB547" w14:textId="77777777" w:rsidR="00741872" w:rsidRDefault="00741872" w:rsidP="00741872">
            <w:pPr>
              <w:pStyle w:val="TableParagraph"/>
              <w:spacing w:before="121"/>
              <w:ind w:left="108"/>
              <w:jc w:val="left"/>
              <w:rPr>
                <w:b/>
              </w:rPr>
            </w:pPr>
            <w:r>
              <w:rPr>
                <w:b/>
              </w:rPr>
              <w:t>In</w:t>
            </w:r>
            <w:r>
              <w:rPr>
                <w:b/>
                <w:spacing w:val="-1"/>
              </w:rPr>
              <w:t xml:space="preserve"> </w:t>
            </w:r>
            <w:r>
              <w:rPr>
                <w:b/>
              </w:rPr>
              <w:t>Part</w:t>
            </w:r>
            <w:r>
              <w:rPr>
                <w:b/>
                <w:spacing w:val="-2"/>
              </w:rPr>
              <w:t xml:space="preserve"> </w:t>
            </w:r>
            <w:r>
              <w:rPr>
                <w:b/>
              </w:rPr>
              <w:t>I</w:t>
            </w:r>
            <w:r>
              <w:rPr>
                <w:b/>
                <w:spacing w:val="-1"/>
              </w:rPr>
              <w:t xml:space="preserve"> </w:t>
            </w:r>
            <w:r>
              <w:rPr>
                <w:b/>
              </w:rPr>
              <w:t>–</w:t>
            </w:r>
            <w:r>
              <w:rPr>
                <w:b/>
                <w:spacing w:val="1"/>
              </w:rPr>
              <w:t xml:space="preserve"> </w:t>
            </w:r>
            <w:r>
              <w:rPr>
                <w:b/>
                <w:spacing w:val="-2"/>
              </w:rPr>
              <w:t>PRELIMINARY</w:t>
            </w:r>
          </w:p>
          <w:p w14:paraId="3C905569" w14:textId="77777777" w:rsidR="00741872" w:rsidRDefault="00741872" w:rsidP="00741872">
            <w:pPr>
              <w:pStyle w:val="TableParagraph"/>
              <w:spacing w:before="120"/>
              <w:ind w:left="208"/>
            </w:pPr>
            <w:r>
              <w:t>I.</w:t>
            </w:r>
            <w:r>
              <w:rPr>
                <w:spacing w:val="47"/>
              </w:rPr>
              <w:t xml:space="preserve"> </w:t>
            </w:r>
            <w:r>
              <w:t>At</w:t>
            </w:r>
            <w:r>
              <w:rPr>
                <w:spacing w:val="75"/>
              </w:rPr>
              <w:t xml:space="preserve"> </w:t>
            </w:r>
            <w:r>
              <w:t>Section</w:t>
            </w:r>
            <w:r>
              <w:rPr>
                <w:spacing w:val="73"/>
              </w:rPr>
              <w:t xml:space="preserve"> </w:t>
            </w:r>
            <w:r>
              <w:t>2</w:t>
            </w:r>
            <w:r>
              <w:rPr>
                <w:spacing w:val="76"/>
              </w:rPr>
              <w:t xml:space="preserve"> </w:t>
            </w:r>
            <w:r>
              <w:t>(1)</w:t>
            </w:r>
            <w:r>
              <w:rPr>
                <w:spacing w:val="77"/>
              </w:rPr>
              <w:t xml:space="preserve"> </w:t>
            </w:r>
            <w:r>
              <w:t>by</w:t>
            </w:r>
            <w:r>
              <w:rPr>
                <w:spacing w:val="74"/>
              </w:rPr>
              <w:t xml:space="preserve"> </w:t>
            </w:r>
            <w:r>
              <w:t>deleting</w:t>
            </w:r>
            <w:r>
              <w:rPr>
                <w:spacing w:val="75"/>
              </w:rPr>
              <w:t xml:space="preserve"> </w:t>
            </w:r>
            <w:r>
              <w:t>the</w:t>
            </w:r>
            <w:r>
              <w:rPr>
                <w:spacing w:val="76"/>
              </w:rPr>
              <w:t xml:space="preserve"> </w:t>
            </w:r>
            <w:r>
              <w:t>definition</w:t>
            </w:r>
            <w:r>
              <w:rPr>
                <w:spacing w:val="73"/>
              </w:rPr>
              <w:t xml:space="preserve"> </w:t>
            </w:r>
            <w:r>
              <w:rPr>
                <w:spacing w:val="-5"/>
              </w:rPr>
              <w:t>of</w:t>
            </w:r>
          </w:p>
          <w:p w14:paraId="08297736" w14:textId="77777777" w:rsidR="00741872" w:rsidRDefault="00741872" w:rsidP="00741872">
            <w:pPr>
              <w:pStyle w:val="TableParagraph"/>
              <w:ind w:left="420"/>
            </w:pPr>
            <w:r>
              <w:t>“winnings”</w:t>
            </w:r>
            <w:r>
              <w:rPr>
                <w:spacing w:val="-9"/>
              </w:rPr>
              <w:t xml:space="preserve"> </w:t>
            </w:r>
            <w:r>
              <w:t>and</w:t>
            </w:r>
            <w:r>
              <w:rPr>
                <w:spacing w:val="-9"/>
              </w:rPr>
              <w:t xml:space="preserve"> </w:t>
            </w:r>
            <w:r>
              <w:t>substituting</w:t>
            </w:r>
            <w:r>
              <w:rPr>
                <w:spacing w:val="-8"/>
              </w:rPr>
              <w:t xml:space="preserve"> </w:t>
            </w:r>
            <w:r>
              <w:t>therefor</w:t>
            </w:r>
            <w:r>
              <w:rPr>
                <w:spacing w:val="-5"/>
              </w:rPr>
              <w:t xml:space="preserve"> </w:t>
            </w:r>
            <w:r>
              <w:rPr>
                <w:spacing w:val="-10"/>
              </w:rPr>
              <w:t>–</w:t>
            </w:r>
          </w:p>
          <w:p w14:paraId="39CF12D5" w14:textId="77777777" w:rsidR="00741872" w:rsidRDefault="00741872" w:rsidP="00741872">
            <w:pPr>
              <w:pStyle w:val="TableParagraph"/>
              <w:spacing w:before="118"/>
              <w:ind w:left="278" w:right="131"/>
              <w:rPr>
                <w:i/>
              </w:rPr>
            </w:pPr>
            <w:r>
              <w:rPr>
                <w:i/>
              </w:rPr>
              <w:t>“withdrawals” means the amount of money withdrawn by a customer from their betting or gaming wallet maintained by a person licensed under the Betting, Lotteries and Gaming Act”.</w:t>
            </w:r>
          </w:p>
          <w:p w14:paraId="58124267" w14:textId="77777777" w:rsidR="00741872" w:rsidRDefault="00741872" w:rsidP="00741872">
            <w:pPr>
              <w:pStyle w:val="TableParagraph"/>
              <w:spacing w:before="121"/>
              <w:ind w:left="108"/>
              <w:jc w:val="left"/>
              <w:rPr>
                <w:b/>
              </w:rPr>
            </w:pPr>
            <w:r>
              <w:rPr>
                <w:b/>
              </w:rPr>
              <w:t>In</w:t>
            </w:r>
            <w:r>
              <w:rPr>
                <w:b/>
                <w:spacing w:val="-3"/>
              </w:rPr>
              <w:t xml:space="preserve"> </w:t>
            </w:r>
            <w:r>
              <w:rPr>
                <w:b/>
              </w:rPr>
              <w:t>Part</w:t>
            </w:r>
            <w:r>
              <w:rPr>
                <w:b/>
                <w:spacing w:val="-4"/>
              </w:rPr>
              <w:t xml:space="preserve"> </w:t>
            </w:r>
            <w:r>
              <w:rPr>
                <w:b/>
              </w:rPr>
              <w:t>II</w:t>
            </w:r>
            <w:r>
              <w:rPr>
                <w:b/>
                <w:spacing w:val="-1"/>
              </w:rPr>
              <w:t xml:space="preserve"> </w:t>
            </w:r>
            <w:r>
              <w:rPr>
                <w:b/>
              </w:rPr>
              <w:t>–</w:t>
            </w:r>
            <w:r>
              <w:rPr>
                <w:b/>
                <w:spacing w:val="-4"/>
              </w:rPr>
              <w:t xml:space="preserve"> </w:t>
            </w:r>
            <w:r>
              <w:rPr>
                <w:b/>
              </w:rPr>
              <w:t>IMPOSITION</w:t>
            </w:r>
            <w:r>
              <w:rPr>
                <w:b/>
                <w:spacing w:val="-2"/>
              </w:rPr>
              <w:t xml:space="preserve"> </w:t>
            </w:r>
            <w:r>
              <w:rPr>
                <w:b/>
              </w:rPr>
              <w:t>OF</w:t>
            </w:r>
            <w:r>
              <w:rPr>
                <w:b/>
                <w:spacing w:val="-6"/>
              </w:rPr>
              <w:t xml:space="preserve"> </w:t>
            </w:r>
            <w:r>
              <w:rPr>
                <w:b/>
              </w:rPr>
              <w:t>INCOME</w:t>
            </w:r>
            <w:r>
              <w:rPr>
                <w:b/>
                <w:spacing w:val="-3"/>
              </w:rPr>
              <w:t xml:space="preserve"> </w:t>
            </w:r>
            <w:r>
              <w:rPr>
                <w:b/>
                <w:spacing w:val="-5"/>
              </w:rPr>
              <w:t>TAX</w:t>
            </w:r>
          </w:p>
          <w:p w14:paraId="4F8A5F21" w14:textId="77777777" w:rsidR="00741872" w:rsidRDefault="00741872" w:rsidP="00741872">
            <w:pPr>
              <w:pStyle w:val="TableParagraph"/>
              <w:spacing w:before="121"/>
              <w:ind w:left="108"/>
            </w:pPr>
            <w:r>
              <w:t>At</w:t>
            </w:r>
            <w:r>
              <w:rPr>
                <w:spacing w:val="14"/>
              </w:rPr>
              <w:t xml:space="preserve"> </w:t>
            </w:r>
            <w:r>
              <w:t>Section</w:t>
            </w:r>
            <w:r>
              <w:rPr>
                <w:spacing w:val="11"/>
              </w:rPr>
              <w:t xml:space="preserve"> </w:t>
            </w:r>
            <w:r>
              <w:t>10</w:t>
            </w:r>
            <w:r>
              <w:rPr>
                <w:spacing w:val="13"/>
              </w:rPr>
              <w:t xml:space="preserve"> </w:t>
            </w:r>
            <w:r>
              <w:t>(1)</w:t>
            </w:r>
            <w:r>
              <w:rPr>
                <w:spacing w:val="12"/>
              </w:rPr>
              <w:t xml:space="preserve"> </w:t>
            </w:r>
            <w:r>
              <w:t>(g)</w:t>
            </w:r>
            <w:r>
              <w:rPr>
                <w:spacing w:val="14"/>
              </w:rPr>
              <w:t xml:space="preserve"> </w:t>
            </w:r>
            <w:r>
              <w:t>by</w:t>
            </w:r>
            <w:r>
              <w:rPr>
                <w:spacing w:val="15"/>
              </w:rPr>
              <w:t xml:space="preserve"> </w:t>
            </w:r>
            <w:r>
              <w:t>deleting</w:t>
            </w:r>
            <w:r>
              <w:rPr>
                <w:spacing w:val="14"/>
              </w:rPr>
              <w:t xml:space="preserve"> </w:t>
            </w:r>
            <w:r>
              <w:t>the</w:t>
            </w:r>
            <w:r>
              <w:rPr>
                <w:spacing w:val="13"/>
              </w:rPr>
              <w:t xml:space="preserve"> </w:t>
            </w:r>
            <w:r>
              <w:t>word</w:t>
            </w:r>
            <w:r>
              <w:rPr>
                <w:spacing w:val="15"/>
              </w:rPr>
              <w:t xml:space="preserve"> </w:t>
            </w:r>
            <w:r>
              <w:rPr>
                <w:spacing w:val="-2"/>
              </w:rPr>
              <w:t>“winnings”</w:t>
            </w:r>
          </w:p>
          <w:p w14:paraId="0A705C8B" w14:textId="77777777" w:rsidR="00741872" w:rsidRDefault="00741872" w:rsidP="00741872">
            <w:pPr>
              <w:pStyle w:val="TableParagraph"/>
              <w:ind w:left="108"/>
            </w:pPr>
            <w:r>
              <w:t>and</w:t>
            </w:r>
            <w:r>
              <w:rPr>
                <w:spacing w:val="-6"/>
              </w:rPr>
              <w:t xml:space="preserve"> </w:t>
            </w:r>
            <w:r>
              <w:t>substituting</w:t>
            </w:r>
            <w:r>
              <w:rPr>
                <w:spacing w:val="-6"/>
              </w:rPr>
              <w:t xml:space="preserve"> </w:t>
            </w:r>
            <w:r>
              <w:t>therefor</w:t>
            </w:r>
            <w:r>
              <w:rPr>
                <w:spacing w:val="-5"/>
              </w:rPr>
              <w:t xml:space="preserve"> </w:t>
            </w:r>
            <w:r>
              <w:t>–</w:t>
            </w:r>
            <w:r>
              <w:rPr>
                <w:spacing w:val="-6"/>
              </w:rPr>
              <w:t xml:space="preserve"> </w:t>
            </w:r>
            <w:r>
              <w:rPr>
                <w:spacing w:val="-2"/>
              </w:rPr>
              <w:t>“</w:t>
            </w:r>
            <w:r>
              <w:rPr>
                <w:i/>
                <w:spacing w:val="-2"/>
              </w:rPr>
              <w:t>withdrawals</w:t>
            </w:r>
            <w:r>
              <w:rPr>
                <w:spacing w:val="-2"/>
              </w:rPr>
              <w:t>”.</w:t>
            </w:r>
          </w:p>
          <w:p w14:paraId="11F2B451" w14:textId="77777777" w:rsidR="00741872" w:rsidRPr="00ED13FF" w:rsidRDefault="00741872" w:rsidP="00BC2DB2">
            <w:pPr>
              <w:pStyle w:val="TableParagraph"/>
              <w:tabs>
                <w:tab w:val="left" w:pos="418"/>
                <w:tab w:val="left" w:pos="420"/>
              </w:tabs>
              <w:spacing w:before="121"/>
              <w:ind w:right="129"/>
            </w:pPr>
            <w:r>
              <w:rPr>
                <w:b/>
              </w:rPr>
              <w:t>In</w:t>
            </w:r>
            <w:r>
              <w:rPr>
                <w:b/>
                <w:spacing w:val="40"/>
              </w:rPr>
              <w:t xml:space="preserve"> </w:t>
            </w:r>
            <w:r>
              <w:rPr>
                <w:b/>
              </w:rPr>
              <w:t>Part</w:t>
            </w:r>
            <w:r>
              <w:rPr>
                <w:b/>
                <w:spacing w:val="39"/>
              </w:rPr>
              <w:t xml:space="preserve"> </w:t>
            </w:r>
            <w:r>
              <w:rPr>
                <w:b/>
              </w:rPr>
              <w:t>VI</w:t>
            </w:r>
            <w:r>
              <w:rPr>
                <w:b/>
                <w:spacing w:val="40"/>
              </w:rPr>
              <w:t xml:space="preserve"> </w:t>
            </w:r>
            <w:r>
              <w:rPr>
                <w:b/>
              </w:rPr>
              <w:t>–</w:t>
            </w:r>
            <w:r>
              <w:rPr>
                <w:b/>
                <w:spacing w:val="39"/>
              </w:rPr>
              <w:t xml:space="preserve"> </w:t>
            </w:r>
            <w:r>
              <w:rPr>
                <w:b/>
              </w:rPr>
              <w:t>RATES,</w:t>
            </w:r>
            <w:r>
              <w:rPr>
                <w:b/>
                <w:spacing w:val="39"/>
              </w:rPr>
              <w:t xml:space="preserve"> </w:t>
            </w:r>
            <w:r>
              <w:rPr>
                <w:b/>
              </w:rPr>
              <w:t>DEDUCTIONS</w:t>
            </w:r>
            <w:r>
              <w:rPr>
                <w:b/>
                <w:spacing w:val="40"/>
              </w:rPr>
              <w:t xml:space="preserve"> </w:t>
            </w:r>
            <w:r>
              <w:rPr>
                <w:b/>
              </w:rPr>
              <w:t>AND</w:t>
            </w:r>
            <w:r>
              <w:rPr>
                <w:b/>
                <w:spacing w:val="38"/>
              </w:rPr>
              <w:t xml:space="preserve"> </w:t>
            </w:r>
            <w:r>
              <w:rPr>
                <w:b/>
              </w:rPr>
              <w:t>SET- OFF OF TAX AND DOUBLE TAXATION RELIEF</w:t>
            </w:r>
          </w:p>
          <w:p w14:paraId="1A223003" w14:textId="77777777" w:rsidR="00ED13FF" w:rsidRDefault="00ED13FF" w:rsidP="00ED13FF">
            <w:pPr>
              <w:pStyle w:val="TableParagraph"/>
              <w:tabs>
                <w:tab w:val="left" w:pos="418"/>
                <w:tab w:val="left" w:pos="420"/>
              </w:tabs>
              <w:spacing w:before="121"/>
              <w:ind w:right="129"/>
              <w:jc w:val="right"/>
              <w:rPr>
                <w:b/>
              </w:rPr>
            </w:pPr>
          </w:p>
          <w:p w14:paraId="30FA0A70" w14:textId="7073CA88" w:rsidR="00741872" w:rsidRPr="00741872" w:rsidRDefault="00741872" w:rsidP="006E6D6E">
            <w:pPr>
              <w:pStyle w:val="TableParagraph"/>
              <w:tabs>
                <w:tab w:val="left" w:pos="418"/>
                <w:tab w:val="left" w:pos="420"/>
                <w:tab w:val="left" w:pos="540"/>
              </w:tabs>
              <w:spacing w:before="121"/>
              <w:ind w:right="129"/>
              <w:jc w:val="left"/>
            </w:pPr>
          </w:p>
        </w:tc>
        <w:tc>
          <w:tcPr>
            <w:tcW w:w="5530" w:type="dxa"/>
          </w:tcPr>
          <w:p w14:paraId="3945F3F2" w14:textId="77777777" w:rsidR="00741872" w:rsidRDefault="00741872" w:rsidP="00741872">
            <w:pPr>
              <w:pStyle w:val="TableParagraph"/>
              <w:ind w:right="130"/>
            </w:pPr>
            <w:r>
              <w:t>Most withdrawals by customers are made through mobile money, which data is easily verifiable. Withdrawals through Mobile Network Operators (</w:t>
            </w:r>
            <w:r>
              <w:rPr>
                <w:b/>
              </w:rPr>
              <w:t>MNOs</w:t>
            </w:r>
            <w:r>
              <w:t>) is therefore</w:t>
            </w:r>
            <w:r>
              <w:rPr>
                <w:spacing w:val="40"/>
              </w:rPr>
              <w:t xml:space="preserve"> </w:t>
            </w:r>
            <w:r>
              <w:t>an assured method of tax collection and provides much- needed visibility on the transactions.</w:t>
            </w:r>
          </w:p>
          <w:p w14:paraId="4BAC65CD" w14:textId="77777777" w:rsidR="00741872" w:rsidRDefault="00741872" w:rsidP="00741872">
            <w:pPr>
              <w:pStyle w:val="TableParagraph"/>
              <w:spacing w:before="118"/>
              <w:ind w:right="132"/>
            </w:pPr>
            <w:r>
              <w:t xml:space="preserve">Similar to the proposal to apply excise duty on deposits, the recommendation to apply WHT on withdrawals will streamline the taxation of the sector and result in the </w:t>
            </w:r>
            <w:r>
              <w:rPr>
                <w:spacing w:val="-2"/>
              </w:rPr>
              <w:t>following:</w:t>
            </w:r>
          </w:p>
          <w:p w14:paraId="2FCA4FFA" w14:textId="77777777" w:rsidR="00741872" w:rsidRDefault="00741872" w:rsidP="00741872">
            <w:pPr>
              <w:pStyle w:val="TableParagraph"/>
              <w:spacing w:before="122"/>
              <w:ind w:right="131"/>
            </w:pPr>
            <w:r>
              <w:rPr>
                <w:b/>
              </w:rPr>
              <w:t xml:space="preserve">Growth in Tax Collections: </w:t>
            </w:r>
            <w:r>
              <w:t xml:space="preserve">The focus on taxation on withdrawals as opposed to winnings will lead to a 50% growth in revenue collections, translating to </w:t>
            </w:r>
            <w:r>
              <w:rPr>
                <w:b/>
              </w:rPr>
              <w:t>KES 6.5</w:t>
            </w:r>
            <w:r>
              <w:rPr>
                <w:b/>
                <w:spacing w:val="80"/>
              </w:rPr>
              <w:t xml:space="preserve"> </w:t>
            </w:r>
            <w:r>
              <w:rPr>
                <w:b/>
              </w:rPr>
              <w:t xml:space="preserve">billion </w:t>
            </w:r>
            <w:r>
              <w:t>in additional revenue annually.</w:t>
            </w:r>
          </w:p>
          <w:p w14:paraId="7F6AEFE0" w14:textId="77777777" w:rsidR="00741872" w:rsidRDefault="00741872" w:rsidP="00741872">
            <w:pPr>
              <w:pStyle w:val="TableParagraph"/>
              <w:spacing w:before="118"/>
              <w:ind w:right="133"/>
            </w:pPr>
            <w:r>
              <w:rPr>
                <w:b/>
              </w:rPr>
              <w:t xml:space="preserve">Guaranteed Tax Collections: </w:t>
            </w:r>
            <w:r>
              <w:t>The collection of tax revenue where the WHT is collected at source when the betting / gaming customer withdraws from their betting / gaming wallet to their MNO wallet is guaranteed as opposed to</w:t>
            </w:r>
            <w:r>
              <w:rPr>
                <w:spacing w:val="40"/>
              </w:rPr>
              <w:t xml:space="preserve"> </w:t>
            </w:r>
            <w:r>
              <w:t>the current scenario where a tax event arises only upon the chance if they win.</w:t>
            </w:r>
          </w:p>
          <w:p w14:paraId="625CFED8" w14:textId="6800B52F" w:rsidR="00741872" w:rsidRDefault="00741872" w:rsidP="00BC2DB2">
            <w:pPr>
              <w:pStyle w:val="TableParagraph"/>
              <w:spacing w:before="122"/>
              <w:ind w:right="124"/>
            </w:pPr>
            <w:r>
              <w:rPr>
                <w:b/>
              </w:rPr>
              <w:t xml:space="preserve">Tax Base Expansion: </w:t>
            </w:r>
            <w:r>
              <w:t>will remove the porous need for self- reporting and assessment and broaden the tax base by bringing</w:t>
            </w:r>
            <w:r>
              <w:rPr>
                <w:spacing w:val="17"/>
              </w:rPr>
              <w:t xml:space="preserve"> </w:t>
            </w:r>
            <w:r>
              <w:t>more</w:t>
            </w:r>
            <w:r>
              <w:rPr>
                <w:spacing w:val="19"/>
              </w:rPr>
              <w:t xml:space="preserve"> </w:t>
            </w:r>
            <w:r>
              <w:t>operators</w:t>
            </w:r>
            <w:r>
              <w:rPr>
                <w:spacing w:val="18"/>
              </w:rPr>
              <w:t xml:space="preserve"> </w:t>
            </w:r>
            <w:r>
              <w:t>into</w:t>
            </w:r>
            <w:r>
              <w:rPr>
                <w:spacing w:val="20"/>
              </w:rPr>
              <w:t xml:space="preserve"> </w:t>
            </w:r>
            <w:r>
              <w:t>the</w:t>
            </w:r>
            <w:r>
              <w:rPr>
                <w:spacing w:val="18"/>
              </w:rPr>
              <w:t xml:space="preserve"> </w:t>
            </w:r>
            <w:r>
              <w:t>tax</w:t>
            </w:r>
            <w:r>
              <w:rPr>
                <w:spacing w:val="19"/>
              </w:rPr>
              <w:t xml:space="preserve"> </w:t>
            </w:r>
            <w:r>
              <w:t>net.</w:t>
            </w:r>
            <w:r>
              <w:rPr>
                <w:spacing w:val="18"/>
              </w:rPr>
              <w:t xml:space="preserve"> </w:t>
            </w:r>
            <w:r>
              <w:t>This</w:t>
            </w:r>
            <w:r>
              <w:rPr>
                <w:spacing w:val="18"/>
              </w:rPr>
              <w:t xml:space="preserve"> </w:t>
            </w:r>
            <w:r>
              <w:t>tax</w:t>
            </w:r>
            <w:r>
              <w:rPr>
                <w:spacing w:val="21"/>
              </w:rPr>
              <w:t xml:space="preserve"> </w:t>
            </w:r>
            <w:r>
              <w:rPr>
                <w:spacing w:val="-2"/>
              </w:rPr>
              <w:t>regime</w:t>
            </w:r>
            <w:r w:rsidR="00BC2DB2">
              <w:t xml:space="preserve"> </w:t>
            </w:r>
            <w:r>
              <w:t>makes</w:t>
            </w:r>
            <w:r>
              <w:rPr>
                <w:spacing w:val="17"/>
              </w:rPr>
              <w:t xml:space="preserve"> </w:t>
            </w:r>
            <w:r>
              <w:t>sure</w:t>
            </w:r>
            <w:r>
              <w:rPr>
                <w:spacing w:val="18"/>
              </w:rPr>
              <w:t xml:space="preserve"> </w:t>
            </w:r>
            <w:r>
              <w:t>that</w:t>
            </w:r>
            <w:r>
              <w:rPr>
                <w:spacing w:val="17"/>
              </w:rPr>
              <w:t xml:space="preserve"> </w:t>
            </w:r>
            <w:r>
              <w:t>there</w:t>
            </w:r>
            <w:r>
              <w:rPr>
                <w:spacing w:val="18"/>
              </w:rPr>
              <w:t xml:space="preserve"> </w:t>
            </w:r>
            <w:r>
              <w:t>is</w:t>
            </w:r>
            <w:r>
              <w:rPr>
                <w:spacing w:val="18"/>
              </w:rPr>
              <w:t xml:space="preserve"> </w:t>
            </w:r>
            <w:r>
              <w:t>no</w:t>
            </w:r>
            <w:r>
              <w:rPr>
                <w:spacing w:val="18"/>
              </w:rPr>
              <w:t xml:space="preserve"> </w:t>
            </w:r>
            <w:r>
              <w:t>manipulation</w:t>
            </w:r>
            <w:r>
              <w:rPr>
                <w:spacing w:val="16"/>
              </w:rPr>
              <w:t xml:space="preserve"> </w:t>
            </w:r>
            <w:r>
              <w:t>of</w:t>
            </w:r>
            <w:r>
              <w:rPr>
                <w:spacing w:val="17"/>
              </w:rPr>
              <w:t xml:space="preserve"> </w:t>
            </w:r>
            <w:r>
              <w:t>the</w:t>
            </w:r>
            <w:r>
              <w:rPr>
                <w:spacing w:val="17"/>
              </w:rPr>
              <w:t xml:space="preserve"> </w:t>
            </w:r>
            <w:r>
              <w:rPr>
                <w:spacing w:val="-2"/>
              </w:rPr>
              <w:t>reported</w:t>
            </w:r>
            <w:r w:rsidR="00BC2DB2">
              <w:rPr>
                <w:spacing w:val="-2"/>
              </w:rPr>
              <w:t xml:space="preserve"> numbers.</w:t>
            </w:r>
          </w:p>
        </w:tc>
      </w:tr>
      <w:tr w:rsidR="00E77D16" w14:paraId="13D911C7" w14:textId="77777777">
        <w:trPr>
          <w:trHeight w:val="8002"/>
        </w:trPr>
        <w:tc>
          <w:tcPr>
            <w:tcW w:w="2129" w:type="dxa"/>
          </w:tcPr>
          <w:p w14:paraId="73AF0407" w14:textId="3AB15835" w:rsidR="00E77D16" w:rsidRDefault="00E77D16" w:rsidP="00E77D16">
            <w:pPr>
              <w:pStyle w:val="TableParagraph"/>
              <w:spacing w:before="1"/>
              <w:ind w:right="96"/>
            </w:pPr>
          </w:p>
        </w:tc>
        <w:tc>
          <w:tcPr>
            <w:tcW w:w="3118" w:type="dxa"/>
          </w:tcPr>
          <w:p w14:paraId="1C3A6F37" w14:textId="77777777" w:rsidR="00E77D16" w:rsidRDefault="00E77D16" w:rsidP="00E77D16">
            <w:pPr>
              <w:pStyle w:val="TableParagraph"/>
              <w:spacing w:line="268" w:lineRule="exact"/>
              <w:rPr>
                <w:b/>
                <w:color w:val="FFC000"/>
              </w:rPr>
            </w:pPr>
          </w:p>
        </w:tc>
        <w:tc>
          <w:tcPr>
            <w:tcW w:w="5103" w:type="dxa"/>
          </w:tcPr>
          <w:p w14:paraId="4E77C0D1" w14:textId="2B961B04" w:rsidR="00E77D16" w:rsidRPr="00BC2DB2" w:rsidRDefault="00E77D16" w:rsidP="00BC2DB2">
            <w:pPr>
              <w:pStyle w:val="TableParagraph"/>
              <w:spacing w:line="268" w:lineRule="exact"/>
              <w:ind w:left="108"/>
              <w:rPr>
                <w:b/>
              </w:rPr>
            </w:pPr>
            <w:r>
              <w:rPr>
                <w:b/>
              </w:rPr>
              <w:t>A</w:t>
            </w:r>
            <w:r>
              <w:rPr>
                <w:b/>
                <w:spacing w:val="-2"/>
              </w:rPr>
              <w:t xml:space="preserve"> </w:t>
            </w:r>
            <w:r>
              <w:rPr>
                <w:b/>
              </w:rPr>
              <w:t>-</w:t>
            </w:r>
            <w:r>
              <w:rPr>
                <w:b/>
                <w:spacing w:val="-2"/>
              </w:rPr>
              <w:t xml:space="preserve"> </w:t>
            </w:r>
            <w:r>
              <w:rPr>
                <w:b/>
              </w:rPr>
              <w:t>Rates</w:t>
            </w:r>
            <w:r>
              <w:rPr>
                <w:b/>
                <w:spacing w:val="-2"/>
              </w:rPr>
              <w:t xml:space="preserve"> </w:t>
            </w:r>
            <w:r>
              <w:rPr>
                <w:b/>
              </w:rPr>
              <w:t>of</w:t>
            </w:r>
            <w:r>
              <w:rPr>
                <w:b/>
                <w:spacing w:val="-1"/>
              </w:rPr>
              <w:t xml:space="preserve"> </w:t>
            </w:r>
            <w:r>
              <w:rPr>
                <w:b/>
                <w:spacing w:val="-5"/>
              </w:rPr>
              <w:t>Tax</w:t>
            </w:r>
          </w:p>
          <w:p w14:paraId="632CF727" w14:textId="77777777" w:rsidR="00E77D16" w:rsidRDefault="00E77D16" w:rsidP="00E77D16">
            <w:pPr>
              <w:pStyle w:val="TableParagraph"/>
              <w:numPr>
                <w:ilvl w:val="0"/>
                <w:numId w:val="4"/>
              </w:numPr>
              <w:tabs>
                <w:tab w:val="left" w:pos="418"/>
                <w:tab w:val="left" w:pos="420"/>
              </w:tabs>
              <w:spacing w:before="120"/>
              <w:ind w:right="129"/>
              <w:jc w:val="both"/>
            </w:pPr>
            <w:r>
              <w:t xml:space="preserve">At Section 34 (1) (m) by deleting the word “winnings” and substituting therefor – </w:t>
            </w:r>
            <w:r>
              <w:rPr>
                <w:i/>
                <w:spacing w:val="-2"/>
              </w:rPr>
              <w:t>“withdrawals”</w:t>
            </w:r>
            <w:r>
              <w:rPr>
                <w:spacing w:val="-2"/>
              </w:rPr>
              <w:t>.</w:t>
            </w:r>
          </w:p>
          <w:p w14:paraId="4F127C38" w14:textId="77777777" w:rsidR="00E77D16" w:rsidRDefault="00E77D16" w:rsidP="00E77D16">
            <w:pPr>
              <w:pStyle w:val="TableParagraph"/>
              <w:numPr>
                <w:ilvl w:val="0"/>
                <w:numId w:val="4"/>
              </w:numPr>
              <w:tabs>
                <w:tab w:val="left" w:pos="418"/>
                <w:tab w:val="left" w:pos="420"/>
              </w:tabs>
              <w:spacing w:before="121"/>
              <w:ind w:right="129" w:hanging="308"/>
              <w:jc w:val="both"/>
            </w:pPr>
            <w:r>
              <w:t xml:space="preserve">At Section 34 (2) (i) by deleting the word “winnings” and substituting therefor – </w:t>
            </w:r>
            <w:r>
              <w:rPr>
                <w:i/>
                <w:spacing w:val="-2"/>
              </w:rPr>
              <w:t>“withdrawals”</w:t>
            </w:r>
            <w:r>
              <w:rPr>
                <w:spacing w:val="-2"/>
              </w:rPr>
              <w:t>.</w:t>
            </w:r>
          </w:p>
          <w:p w14:paraId="13343D26" w14:textId="77777777" w:rsidR="00E77D16" w:rsidRDefault="00E77D16" w:rsidP="00E77D16">
            <w:pPr>
              <w:pStyle w:val="TableParagraph"/>
              <w:spacing w:before="119"/>
              <w:ind w:left="108"/>
              <w:rPr>
                <w:b/>
              </w:rPr>
            </w:pPr>
            <w:r>
              <w:rPr>
                <w:b/>
              </w:rPr>
              <w:t>B</w:t>
            </w:r>
            <w:r>
              <w:rPr>
                <w:b/>
                <w:spacing w:val="-2"/>
              </w:rPr>
              <w:t xml:space="preserve"> </w:t>
            </w:r>
            <w:r>
              <w:rPr>
                <w:b/>
              </w:rPr>
              <w:t>–</w:t>
            </w:r>
            <w:r>
              <w:rPr>
                <w:b/>
                <w:spacing w:val="-3"/>
              </w:rPr>
              <w:t xml:space="preserve"> </w:t>
            </w:r>
            <w:r>
              <w:rPr>
                <w:b/>
              </w:rPr>
              <w:t>Deduction</w:t>
            </w:r>
            <w:r>
              <w:rPr>
                <w:b/>
                <w:spacing w:val="-3"/>
              </w:rPr>
              <w:t xml:space="preserve"> </w:t>
            </w:r>
            <w:r>
              <w:rPr>
                <w:b/>
              </w:rPr>
              <w:t>of</w:t>
            </w:r>
            <w:r>
              <w:rPr>
                <w:b/>
                <w:spacing w:val="-2"/>
              </w:rPr>
              <w:t xml:space="preserve"> </w:t>
            </w:r>
            <w:r>
              <w:rPr>
                <w:b/>
                <w:spacing w:val="-5"/>
              </w:rPr>
              <w:t>Tax</w:t>
            </w:r>
          </w:p>
          <w:p w14:paraId="561A953F" w14:textId="77777777" w:rsidR="00E77D16" w:rsidRDefault="00E77D16" w:rsidP="00E77D16">
            <w:pPr>
              <w:pStyle w:val="TableParagraph"/>
              <w:numPr>
                <w:ilvl w:val="0"/>
                <w:numId w:val="3"/>
              </w:numPr>
              <w:tabs>
                <w:tab w:val="left" w:pos="418"/>
                <w:tab w:val="left" w:pos="420"/>
              </w:tabs>
              <w:spacing w:before="120"/>
              <w:ind w:right="129"/>
              <w:jc w:val="both"/>
              <w:rPr>
                <w:i/>
              </w:rPr>
            </w:pPr>
            <w:r>
              <w:t xml:space="preserve">At Section 35 (1) (i) by deleting the word “winnings” and substituting therefor – </w:t>
            </w:r>
            <w:r>
              <w:rPr>
                <w:i/>
                <w:spacing w:val="-2"/>
              </w:rPr>
              <w:t>“withdrawals”.</w:t>
            </w:r>
          </w:p>
          <w:p w14:paraId="54DC85CD" w14:textId="77777777" w:rsidR="00E77D16" w:rsidRDefault="00E77D16" w:rsidP="00E77D16">
            <w:pPr>
              <w:pStyle w:val="TableParagraph"/>
              <w:numPr>
                <w:ilvl w:val="0"/>
                <w:numId w:val="3"/>
              </w:numPr>
              <w:tabs>
                <w:tab w:val="left" w:pos="418"/>
                <w:tab w:val="left" w:pos="420"/>
              </w:tabs>
              <w:spacing w:before="121"/>
              <w:ind w:right="129" w:hanging="308"/>
              <w:jc w:val="both"/>
            </w:pPr>
            <w:r>
              <w:t xml:space="preserve">At Section 35 (3) (h) by deleting the word “winnings” and substituting therefor – </w:t>
            </w:r>
            <w:r>
              <w:rPr>
                <w:i/>
                <w:spacing w:val="-2"/>
              </w:rPr>
              <w:t>“withdrawals”</w:t>
            </w:r>
            <w:r>
              <w:rPr>
                <w:spacing w:val="-2"/>
              </w:rPr>
              <w:t>.</w:t>
            </w:r>
          </w:p>
          <w:p w14:paraId="2B05E33D" w14:textId="77777777" w:rsidR="00E77D16" w:rsidRDefault="00E77D16" w:rsidP="00E77D16">
            <w:pPr>
              <w:pStyle w:val="TableParagraph"/>
              <w:numPr>
                <w:ilvl w:val="0"/>
                <w:numId w:val="3"/>
              </w:numPr>
              <w:tabs>
                <w:tab w:val="left" w:pos="417"/>
              </w:tabs>
              <w:spacing w:before="120"/>
              <w:ind w:left="417" w:hanging="362"/>
              <w:jc w:val="both"/>
            </w:pPr>
            <w:r>
              <w:t>At</w:t>
            </w:r>
            <w:r>
              <w:rPr>
                <w:spacing w:val="-1"/>
              </w:rPr>
              <w:t xml:space="preserve"> </w:t>
            </w:r>
            <w:r>
              <w:t>Section</w:t>
            </w:r>
            <w:r>
              <w:rPr>
                <w:spacing w:val="-4"/>
              </w:rPr>
              <w:t xml:space="preserve"> </w:t>
            </w:r>
            <w:r>
              <w:t>5A</w:t>
            </w:r>
            <w:r>
              <w:rPr>
                <w:spacing w:val="-1"/>
              </w:rPr>
              <w:t xml:space="preserve"> </w:t>
            </w:r>
            <w:r>
              <w:t>by</w:t>
            </w:r>
            <w:r>
              <w:rPr>
                <w:spacing w:val="-1"/>
              </w:rPr>
              <w:t xml:space="preserve"> </w:t>
            </w:r>
            <w:r>
              <w:t>deleting</w:t>
            </w:r>
            <w:r>
              <w:rPr>
                <w:spacing w:val="-1"/>
              </w:rPr>
              <w:t xml:space="preserve"> </w:t>
            </w:r>
            <w:r>
              <w:t>the word</w:t>
            </w:r>
            <w:r>
              <w:rPr>
                <w:spacing w:val="-4"/>
              </w:rPr>
              <w:t xml:space="preserve"> </w:t>
            </w:r>
            <w:r>
              <w:t>“winnings”</w:t>
            </w:r>
            <w:r>
              <w:rPr>
                <w:spacing w:val="-1"/>
              </w:rPr>
              <w:t xml:space="preserve"> </w:t>
            </w:r>
            <w:r>
              <w:rPr>
                <w:spacing w:val="-5"/>
              </w:rPr>
              <w:t>and</w:t>
            </w:r>
          </w:p>
          <w:p w14:paraId="1BEB65DE" w14:textId="77777777" w:rsidR="00E77D16" w:rsidRDefault="00E77D16" w:rsidP="00E77D16">
            <w:pPr>
              <w:pStyle w:val="TableParagraph"/>
              <w:spacing w:before="1"/>
              <w:ind w:left="420"/>
            </w:pPr>
            <w:r>
              <w:t>substituting</w:t>
            </w:r>
            <w:r>
              <w:rPr>
                <w:spacing w:val="-8"/>
              </w:rPr>
              <w:t xml:space="preserve"> </w:t>
            </w:r>
            <w:r>
              <w:t>therefore</w:t>
            </w:r>
            <w:r>
              <w:rPr>
                <w:spacing w:val="-4"/>
              </w:rPr>
              <w:t xml:space="preserve"> </w:t>
            </w:r>
            <w:r>
              <w:t>–</w:t>
            </w:r>
            <w:r>
              <w:rPr>
                <w:spacing w:val="-8"/>
              </w:rPr>
              <w:t xml:space="preserve"> </w:t>
            </w:r>
            <w:r>
              <w:rPr>
                <w:i/>
                <w:spacing w:val="-2"/>
              </w:rPr>
              <w:t>“withdrawals”</w:t>
            </w:r>
            <w:r>
              <w:rPr>
                <w:spacing w:val="-2"/>
              </w:rPr>
              <w:t>.</w:t>
            </w:r>
          </w:p>
          <w:p w14:paraId="30AFACCC" w14:textId="77777777" w:rsidR="00E77D16" w:rsidRDefault="00E77D16" w:rsidP="00E77D16">
            <w:pPr>
              <w:pStyle w:val="TableParagraph"/>
              <w:spacing w:before="118"/>
              <w:ind w:left="108" w:right="813"/>
              <w:rPr>
                <w:b/>
              </w:rPr>
            </w:pPr>
            <w:r>
              <w:rPr>
                <w:b/>
              </w:rPr>
              <w:t>In the Third Schedule – RATES OF PERSONAL RELIEF AND TAX</w:t>
            </w:r>
          </w:p>
          <w:p w14:paraId="5E84DBF5" w14:textId="77777777" w:rsidR="00E77D16" w:rsidRDefault="00E77D16" w:rsidP="00E77D16">
            <w:pPr>
              <w:pStyle w:val="TableParagraph"/>
              <w:spacing w:before="120"/>
              <w:ind w:left="108"/>
              <w:rPr>
                <w:b/>
              </w:rPr>
            </w:pPr>
            <w:r>
              <w:rPr>
                <w:b/>
              </w:rPr>
              <w:t>Head</w:t>
            </w:r>
            <w:r>
              <w:rPr>
                <w:b/>
                <w:spacing w:val="-3"/>
              </w:rPr>
              <w:t xml:space="preserve"> </w:t>
            </w:r>
            <w:r>
              <w:rPr>
                <w:b/>
              </w:rPr>
              <w:t>B</w:t>
            </w:r>
            <w:r>
              <w:rPr>
                <w:b/>
                <w:spacing w:val="-1"/>
              </w:rPr>
              <w:t xml:space="preserve"> </w:t>
            </w:r>
            <w:r>
              <w:rPr>
                <w:b/>
              </w:rPr>
              <w:t>–</w:t>
            </w:r>
            <w:r>
              <w:rPr>
                <w:b/>
                <w:spacing w:val="-4"/>
              </w:rPr>
              <w:t xml:space="preserve"> </w:t>
            </w:r>
            <w:r>
              <w:rPr>
                <w:b/>
              </w:rPr>
              <w:t>Rates</w:t>
            </w:r>
            <w:r>
              <w:rPr>
                <w:b/>
                <w:spacing w:val="-2"/>
              </w:rPr>
              <w:t xml:space="preserve"> </w:t>
            </w:r>
            <w:r>
              <w:rPr>
                <w:b/>
              </w:rPr>
              <w:t>of</w:t>
            </w:r>
            <w:r>
              <w:rPr>
                <w:b/>
                <w:spacing w:val="-3"/>
              </w:rPr>
              <w:t xml:space="preserve"> </w:t>
            </w:r>
            <w:r>
              <w:rPr>
                <w:b/>
                <w:spacing w:val="-5"/>
              </w:rPr>
              <w:t>Tax</w:t>
            </w:r>
          </w:p>
          <w:p w14:paraId="29F73BA5" w14:textId="77777777" w:rsidR="00E77D16" w:rsidRDefault="00E77D16" w:rsidP="00E77D16">
            <w:pPr>
              <w:pStyle w:val="TableParagraph"/>
              <w:numPr>
                <w:ilvl w:val="0"/>
                <w:numId w:val="2"/>
              </w:numPr>
              <w:tabs>
                <w:tab w:val="left" w:pos="418"/>
                <w:tab w:val="left" w:pos="420"/>
              </w:tabs>
              <w:spacing w:before="121"/>
              <w:ind w:right="128"/>
              <w:jc w:val="both"/>
            </w:pPr>
            <w:r>
              <w:t>At paragraph 3 (i), by deleting the words “in respect of winnings, twenty percent” and substituting therefor the words “</w:t>
            </w:r>
            <w:r>
              <w:rPr>
                <w:i/>
              </w:rPr>
              <w:t>in respect of withdrawals, five percent</w:t>
            </w:r>
            <w:r>
              <w:t>”.</w:t>
            </w:r>
          </w:p>
          <w:p w14:paraId="08C94F66" w14:textId="0CB7E32A" w:rsidR="00E77D16" w:rsidRDefault="00E77D16" w:rsidP="00E77D16">
            <w:pPr>
              <w:pStyle w:val="TableParagraph"/>
              <w:ind w:left="108" w:right="129"/>
            </w:pPr>
            <w:r>
              <w:t>At paragraph 5 (i), by deleting the words “in respect of winnings, twenty percent” and substituting therefor the words “</w:t>
            </w:r>
            <w:r>
              <w:rPr>
                <w:i/>
              </w:rPr>
              <w:t>in respect of withdrawals, five percent”</w:t>
            </w:r>
            <w:r>
              <w:t>.</w:t>
            </w:r>
          </w:p>
        </w:tc>
        <w:tc>
          <w:tcPr>
            <w:tcW w:w="5530" w:type="dxa"/>
          </w:tcPr>
          <w:p w14:paraId="5E0D1243" w14:textId="55872230" w:rsidR="00E77D16" w:rsidRDefault="00E77D16" w:rsidP="009E208C">
            <w:pPr>
              <w:pStyle w:val="TableParagraph"/>
              <w:spacing w:before="120"/>
              <w:ind w:left="150" w:right="123" w:hanging="30"/>
            </w:pPr>
            <w:r>
              <w:t xml:space="preserve">There will be </w:t>
            </w:r>
            <w:r>
              <w:rPr>
                <w:b/>
              </w:rPr>
              <w:t xml:space="preserve">no need for external integrations </w:t>
            </w:r>
            <w:r>
              <w:t xml:space="preserve">that are cumbersome and often not working properly including </w:t>
            </w:r>
            <w:r>
              <w:rPr>
                <w:spacing w:val="-2"/>
              </w:rPr>
              <w:t>downtime.</w:t>
            </w:r>
          </w:p>
          <w:p w14:paraId="36827586" w14:textId="77777777" w:rsidR="00E77D16" w:rsidRDefault="00E77D16" w:rsidP="00E77D16">
            <w:pPr>
              <w:pStyle w:val="TableParagraph"/>
              <w:spacing w:before="121"/>
              <w:ind w:left="109" w:right="122"/>
            </w:pPr>
            <w:r>
              <w:rPr>
                <w:b/>
              </w:rPr>
              <w:t xml:space="preserve">Daily collection of tax (that is easy): </w:t>
            </w:r>
            <w:r>
              <w:t>encourages legal domestic economic activity by ensuring no delays in revenue collection.</w:t>
            </w:r>
          </w:p>
          <w:p w14:paraId="2DF7BB4C" w14:textId="45E35FB5" w:rsidR="00E77D16" w:rsidRDefault="00E77D16" w:rsidP="00E77D16">
            <w:pPr>
              <w:pStyle w:val="TableParagraph"/>
              <w:ind w:right="130"/>
            </w:pPr>
            <w:r>
              <w:rPr>
                <w:b/>
              </w:rPr>
              <w:t xml:space="preserve">Anti-Money Laundering and Terrorism Financing: </w:t>
            </w:r>
            <w:r>
              <w:t>Taxing betting and gaming transactions withdrawals guarantees transparency and allows for reporting of suspicious and unusual transactions that are the basis of illicit financial flows.</w:t>
            </w:r>
            <w:r>
              <w:rPr>
                <w:spacing w:val="-5"/>
              </w:rPr>
              <w:t xml:space="preserve"> </w:t>
            </w:r>
            <w:r>
              <w:t>This</w:t>
            </w:r>
            <w:r>
              <w:rPr>
                <w:spacing w:val="-3"/>
              </w:rPr>
              <w:t xml:space="preserve"> </w:t>
            </w:r>
            <w:r>
              <w:t>is</w:t>
            </w:r>
            <w:r>
              <w:rPr>
                <w:spacing w:val="-3"/>
              </w:rPr>
              <w:t xml:space="preserve"> </w:t>
            </w:r>
            <w:r>
              <w:t>particularly</w:t>
            </w:r>
            <w:r>
              <w:rPr>
                <w:spacing w:val="-3"/>
              </w:rPr>
              <w:t xml:space="preserve"> </w:t>
            </w:r>
            <w:r>
              <w:t>relevant</w:t>
            </w:r>
            <w:r>
              <w:rPr>
                <w:spacing w:val="-3"/>
              </w:rPr>
              <w:t xml:space="preserve"> </w:t>
            </w:r>
            <w:r>
              <w:t>for</w:t>
            </w:r>
            <w:r>
              <w:rPr>
                <w:spacing w:val="-3"/>
              </w:rPr>
              <w:t xml:space="preserve"> </w:t>
            </w:r>
            <w:r>
              <w:t>Kenya</w:t>
            </w:r>
            <w:r>
              <w:rPr>
                <w:spacing w:val="-3"/>
              </w:rPr>
              <w:t xml:space="preserve"> </w:t>
            </w:r>
            <w:r>
              <w:t>now</w:t>
            </w:r>
            <w:r>
              <w:rPr>
                <w:spacing w:val="-5"/>
              </w:rPr>
              <w:t xml:space="preserve"> </w:t>
            </w:r>
            <w:r>
              <w:t>that</w:t>
            </w:r>
            <w:r>
              <w:rPr>
                <w:spacing w:val="-3"/>
              </w:rPr>
              <w:t xml:space="preserve"> </w:t>
            </w:r>
            <w:r>
              <w:t>it</w:t>
            </w:r>
            <w:r>
              <w:rPr>
                <w:spacing w:val="-3"/>
              </w:rPr>
              <w:t xml:space="preserve"> </w:t>
            </w:r>
            <w:r>
              <w:t>has been grey listed by the FATF.</w:t>
            </w:r>
          </w:p>
        </w:tc>
      </w:tr>
      <w:tr w:rsidR="00F95626" w14:paraId="3854E29D" w14:textId="77777777">
        <w:trPr>
          <w:trHeight w:val="8002"/>
        </w:trPr>
        <w:tc>
          <w:tcPr>
            <w:tcW w:w="2129" w:type="dxa"/>
          </w:tcPr>
          <w:p w14:paraId="148E50FE" w14:textId="024B75AB" w:rsidR="00F95626" w:rsidRDefault="00F95626" w:rsidP="00F95626">
            <w:pPr>
              <w:pStyle w:val="TableParagraph"/>
              <w:spacing w:before="1"/>
              <w:ind w:right="96"/>
            </w:pPr>
            <w:r>
              <w:lastRenderedPageBreak/>
              <w:t>42. By inserting Part II of the First Schedule to the Excise Duty Act</w:t>
            </w:r>
          </w:p>
        </w:tc>
        <w:tc>
          <w:tcPr>
            <w:tcW w:w="3118" w:type="dxa"/>
          </w:tcPr>
          <w:p w14:paraId="18CE9F01" w14:textId="50920127" w:rsidR="00F95626" w:rsidRDefault="00F95626" w:rsidP="00F95626">
            <w:pPr>
              <w:pStyle w:val="TableParagraph"/>
              <w:spacing w:before="120"/>
              <w:ind w:left="105" w:right="97"/>
            </w:pPr>
            <w:r>
              <w:t>Th</w:t>
            </w:r>
            <w:r w:rsidR="00E76BB6">
              <w:t xml:space="preserve">e </w:t>
            </w:r>
            <w:r>
              <w:t xml:space="preserve">rate of </w:t>
            </w:r>
            <w:r w:rsidR="00884B14">
              <w:t>E</w:t>
            </w:r>
            <w:r>
              <w:t xml:space="preserve">xcise </w:t>
            </w:r>
            <w:r w:rsidR="00884B14">
              <w:t>D</w:t>
            </w:r>
            <w:r>
              <w:t>uty has consistently been on the increase</w:t>
            </w:r>
            <w:r>
              <w:rPr>
                <w:spacing w:val="-6"/>
              </w:rPr>
              <w:t xml:space="preserve"> </w:t>
            </w:r>
            <w:r>
              <w:t>since</w:t>
            </w:r>
            <w:r>
              <w:rPr>
                <w:spacing w:val="-6"/>
              </w:rPr>
              <w:t xml:space="preserve"> </w:t>
            </w:r>
            <w:r>
              <w:t>its</w:t>
            </w:r>
            <w:r>
              <w:rPr>
                <w:spacing w:val="-6"/>
              </w:rPr>
              <w:t xml:space="preserve"> </w:t>
            </w:r>
            <w:r>
              <w:t>introduction</w:t>
            </w:r>
            <w:r>
              <w:rPr>
                <w:spacing w:val="-7"/>
              </w:rPr>
              <w:t xml:space="preserve"> </w:t>
            </w:r>
            <w:r>
              <w:t xml:space="preserve">in the sector which is </w:t>
            </w:r>
            <w:r>
              <w:rPr>
                <w:b/>
              </w:rPr>
              <w:t xml:space="preserve">not </w:t>
            </w:r>
            <w:r>
              <w:rPr>
                <w:b/>
                <w:spacing w:val="-2"/>
              </w:rPr>
              <w:t>sustainable</w:t>
            </w:r>
            <w:r>
              <w:rPr>
                <w:spacing w:val="-2"/>
              </w:rPr>
              <w:t>.</w:t>
            </w:r>
          </w:p>
          <w:p w14:paraId="32C5E702" w14:textId="49B69C3D" w:rsidR="00F95626" w:rsidRDefault="00F95626" w:rsidP="00F95626">
            <w:pPr>
              <w:pStyle w:val="TableParagraph"/>
              <w:spacing w:line="268" w:lineRule="exact"/>
              <w:rPr>
                <w:b/>
                <w:color w:val="FFC000"/>
              </w:rPr>
            </w:pPr>
            <w:r>
              <w:t xml:space="preserve">Consistent increase of excise duty, which is borne by the customers, is likely to </w:t>
            </w:r>
            <w:r>
              <w:rPr>
                <w:b/>
              </w:rPr>
              <w:t xml:space="preserve">dampen the demand </w:t>
            </w:r>
            <w:r>
              <w:t xml:space="preserve">for betting and gaming on eligible persons and </w:t>
            </w:r>
            <w:r>
              <w:rPr>
                <w:b/>
              </w:rPr>
              <w:t xml:space="preserve">deepen offshore and illegal gambling </w:t>
            </w:r>
            <w:r>
              <w:t>that will generate no revenue for the Government since customers will be drawn</w:t>
            </w:r>
            <w:r>
              <w:rPr>
                <w:spacing w:val="40"/>
              </w:rPr>
              <w:t xml:space="preserve"> </w:t>
            </w:r>
            <w:r>
              <w:t xml:space="preserve">to “black market” companies that are unregulated by the Betting Control and Licensing </w:t>
            </w:r>
            <w:r>
              <w:rPr>
                <w:spacing w:val="-2"/>
              </w:rPr>
              <w:t>Board.</w:t>
            </w:r>
          </w:p>
        </w:tc>
        <w:tc>
          <w:tcPr>
            <w:tcW w:w="5103" w:type="dxa"/>
          </w:tcPr>
          <w:p w14:paraId="7D94B6CF" w14:textId="57D71132" w:rsidR="00F95626" w:rsidRDefault="00F95626" w:rsidP="00F95626">
            <w:pPr>
              <w:pStyle w:val="TableParagraph"/>
              <w:spacing w:before="1"/>
              <w:ind w:left="108" w:right="130"/>
            </w:pPr>
            <w:r>
              <w:t>We propose that the current 1</w:t>
            </w:r>
            <w:r w:rsidR="00D85A68">
              <w:t>5</w:t>
            </w:r>
            <w:r>
              <w:t xml:space="preserve">% </w:t>
            </w:r>
            <w:r w:rsidR="00884B14">
              <w:t>E</w:t>
            </w:r>
            <w:r>
              <w:t xml:space="preserve">xcise </w:t>
            </w:r>
            <w:r w:rsidR="00884B14">
              <w:t>D</w:t>
            </w:r>
            <w:r>
              <w:t xml:space="preserve">uty on stakes is replaced with 5% </w:t>
            </w:r>
            <w:r w:rsidR="00884B14">
              <w:t>E</w:t>
            </w:r>
            <w:r>
              <w:t xml:space="preserve">xcise </w:t>
            </w:r>
            <w:r w:rsidR="00884B14">
              <w:t>D</w:t>
            </w:r>
            <w:r>
              <w:t xml:space="preserve">uty </w:t>
            </w:r>
            <w:r>
              <w:rPr>
                <w:b/>
              </w:rPr>
              <w:t xml:space="preserve">on deposits </w:t>
            </w:r>
            <w:r>
              <w:t>(i.e., all sums deposited by a customer in their online wallet inclusive of the stake) made by punters / players on a daily basis.</w:t>
            </w:r>
          </w:p>
          <w:p w14:paraId="4D361D8F" w14:textId="77777777" w:rsidR="00F95626" w:rsidRDefault="00F95626" w:rsidP="00F95626">
            <w:pPr>
              <w:pStyle w:val="TableParagraph"/>
              <w:spacing w:before="120"/>
              <w:ind w:left="108" w:right="130"/>
            </w:pPr>
            <w:r>
              <w:t>In this regard, we recommend that the First Schedule to the Excise Duty Act, 2015 is amended –</w:t>
            </w:r>
          </w:p>
          <w:p w14:paraId="3018C241" w14:textId="77777777" w:rsidR="00F95626" w:rsidRDefault="00F95626" w:rsidP="00F95626">
            <w:pPr>
              <w:pStyle w:val="TableParagraph"/>
              <w:spacing w:before="120"/>
              <w:ind w:left="108"/>
              <w:rPr>
                <w:b/>
              </w:rPr>
            </w:pPr>
            <w:r>
              <w:rPr>
                <w:b/>
              </w:rPr>
              <w:t>In</w:t>
            </w:r>
            <w:r>
              <w:rPr>
                <w:b/>
                <w:spacing w:val="-3"/>
              </w:rPr>
              <w:t xml:space="preserve"> </w:t>
            </w:r>
            <w:r>
              <w:rPr>
                <w:b/>
              </w:rPr>
              <w:t>Part</w:t>
            </w:r>
            <w:r>
              <w:rPr>
                <w:b/>
                <w:spacing w:val="-4"/>
              </w:rPr>
              <w:t xml:space="preserve"> </w:t>
            </w:r>
            <w:r>
              <w:rPr>
                <w:b/>
              </w:rPr>
              <w:t>II</w:t>
            </w:r>
            <w:r>
              <w:rPr>
                <w:b/>
                <w:spacing w:val="-2"/>
              </w:rPr>
              <w:t xml:space="preserve"> </w:t>
            </w:r>
            <w:r>
              <w:rPr>
                <w:b/>
              </w:rPr>
              <w:t>–</w:t>
            </w:r>
            <w:r>
              <w:rPr>
                <w:b/>
                <w:spacing w:val="-4"/>
              </w:rPr>
              <w:t xml:space="preserve"> </w:t>
            </w:r>
            <w:r>
              <w:rPr>
                <w:b/>
              </w:rPr>
              <w:t>EXCISABLE</w:t>
            </w:r>
            <w:r>
              <w:rPr>
                <w:b/>
                <w:spacing w:val="-3"/>
              </w:rPr>
              <w:t xml:space="preserve"> </w:t>
            </w:r>
            <w:r>
              <w:rPr>
                <w:b/>
                <w:spacing w:val="-2"/>
              </w:rPr>
              <w:t>SERVICES</w:t>
            </w:r>
          </w:p>
          <w:p w14:paraId="40E10025" w14:textId="145AD97A" w:rsidR="00F95626" w:rsidRDefault="00F95626" w:rsidP="00F95626">
            <w:pPr>
              <w:pStyle w:val="TableParagraph"/>
              <w:numPr>
                <w:ilvl w:val="0"/>
                <w:numId w:val="6"/>
              </w:numPr>
              <w:tabs>
                <w:tab w:val="left" w:pos="418"/>
                <w:tab w:val="left" w:pos="420"/>
              </w:tabs>
              <w:spacing w:before="121"/>
              <w:ind w:right="129"/>
              <w:jc w:val="both"/>
            </w:pPr>
            <w:r>
              <w:t xml:space="preserve">At </w:t>
            </w:r>
            <w:r>
              <w:rPr>
                <w:b/>
              </w:rPr>
              <w:t>paragraph 4A</w:t>
            </w:r>
            <w:r>
              <w:t>, by deleting the words “</w:t>
            </w:r>
            <w:r w:rsidR="00D85A68">
              <w:t>fifteen</w:t>
            </w:r>
            <w:r>
              <w:t xml:space="preserve"> percent” and substituting therefor the words “</w:t>
            </w:r>
            <w:r>
              <w:rPr>
                <w:i/>
              </w:rPr>
              <w:t>five percent</w:t>
            </w:r>
            <w:r>
              <w:t>” and by deleting the words “wagered or staked” and substituting therefor the words “</w:t>
            </w:r>
            <w:r>
              <w:rPr>
                <w:i/>
              </w:rPr>
              <w:t xml:space="preserve">deposited into the customers betting </w:t>
            </w:r>
            <w:r>
              <w:rPr>
                <w:i/>
                <w:spacing w:val="-2"/>
              </w:rPr>
              <w:t>wallet</w:t>
            </w:r>
            <w:r>
              <w:rPr>
                <w:spacing w:val="-2"/>
              </w:rPr>
              <w:t>”;</w:t>
            </w:r>
          </w:p>
          <w:p w14:paraId="12CF5EB1" w14:textId="5636B2C4" w:rsidR="00F95626" w:rsidRDefault="00F95626" w:rsidP="00F95626">
            <w:pPr>
              <w:pStyle w:val="TableParagraph"/>
              <w:numPr>
                <w:ilvl w:val="0"/>
                <w:numId w:val="6"/>
              </w:numPr>
              <w:tabs>
                <w:tab w:val="left" w:pos="418"/>
                <w:tab w:val="left" w:pos="420"/>
              </w:tabs>
              <w:spacing w:before="119"/>
              <w:ind w:right="128" w:hanging="308"/>
              <w:jc w:val="both"/>
            </w:pPr>
            <w:r>
              <w:t xml:space="preserve">At </w:t>
            </w:r>
            <w:r>
              <w:rPr>
                <w:b/>
              </w:rPr>
              <w:t>paragraph 4B</w:t>
            </w:r>
            <w:r>
              <w:t>, by deleting the words “</w:t>
            </w:r>
            <w:r w:rsidR="00D85A68">
              <w:t>fifteen</w:t>
            </w:r>
            <w:r>
              <w:t xml:space="preserve"> percent” and substituting therefor the words “</w:t>
            </w:r>
            <w:r>
              <w:rPr>
                <w:i/>
              </w:rPr>
              <w:t>five percent</w:t>
            </w:r>
            <w:r>
              <w:t>” and by deleting the words “wagered or staked” and substituting therefor the words “</w:t>
            </w:r>
            <w:r>
              <w:rPr>
                <w:i/>
              </w:rPr>
              <w:t xml:space="preserve">deposited into the customers gaming </w:t>
            </w:r>
            <w:r>
              <w:rPr>
                <w:i/>
                <w:spacing w:val="-2"/>
              </w:rPr>
              <w:t>wallet</w:t>
            </w:r>
            <w:r>
              <w:rPr>
                <w:spacing w:val="-2"/>
              </w:rPr>
              <w:t>”;</w:t>
            </w:r>
          </w:p>
          <w:p w14:paraId="38705836" w14:textId="21EFF93B" w:rsidR="00F95626" w:rsidRDefault="00F95626" w:rsidP="00F95626">
            <w:pPr>
              <w:pStyle w:val="TableParagraph"/>
              <w:numPr>
                <w:ilvl w:val="0"/>
                <w:numId w:val="6"/>
              </w:numPr>
              <w:tabs>
                <w:tab w:val="left" w:pos="417"/>
                <w:tab w:val="left" w:pos="420"/>
              </w:tabs>
              <w:spacing w:before="120"/>
              <w:ind w:right="129" w:hanging="365"/>
              <w:jc w:val="both"/>
            </w:pPr>
            <w:r>
              <w:t xml:space="preserve">At </w:t>
            </w:r>
            <w:r>
              <w:rPr>
                <w:b/>
              </w:rPr>
              <w:t>paragraph 4C</w:t>
            </w:r>
            <w:r>
              <w:t>, by deleting the words “</w:t>
            </w:r>
            <w:r w:rsidR="00D85A68">
              <w:t>fifteen</w:t>
            </w:r>
            <w:r>
              <w:t xml:space="preserve"> percent” and substituting therefor the words “</w:t>
            </w:r>
            <w:r>
              <w:rPr>
                <w:i/>
              </w:rPr>
              <w:t>five percent</w:t>
            </w:r>
            <w:r>
              <w:t>”;</w:t>
            </w:r>
          </w:p>
          <w:p w14:paraId="5BB5CED3" w14:textId="77777777" w:rsidR="00DC40AB" w:rsidRDefault="00F95626" w:rsidP="00DC40AB">
            <w:pPr>
              <w:pStyle w:val="TableParagraph"/>
              <w:spacing w:line="268" w:lineRule="exact"/>
              <w:ind w:left="420"/>
              <w:jc w:val="left"/>
            </w:pPr>
            <w:r>
              <w:t xml:space="preserve">At </w:t>
            </w:r>
            <w:r>
              <w:rPr>
                <w:b/>
              </w:rPr>
              <w:t>paragraph 4D</w:t>
            </w:r>
            <w:r>
              <w:t>, by deleting the words “</w:t>
            </w:r>
            <w:r w:rsidR="00D85A68">
              <w:t>fifteen</w:t>
            </w:r>
            <w:r>
              <w:rPr>
                <w:spacing w:val="31"/>
              </w:rPr>
              <w:t xml:space="preserve"> </w:t>
            </w:r>
            <w:r>
              <w:t>percent”</w:t>
            </w:r>
            <w:r>
              <w:rPr>
                <w:spacing w:val="31"/>
              </w:rPr>
              <w:t xml:space="preserve"> </w:t>
            </w:r>
            <w:r>
              <w:t>and</w:t>
            </w:r>
            <w:r>
              <w:rPr>
                <w:spacing w:val="29"/>
              </w:rPr>
              <w:t xml:space="preserve"> </w:t>
            </w:r>
            <w:r>
              <w:t>substituting</w:t>
            </w:r>
            <w:r>
              <w:rPr>
                <w:spacing w:val="29"/>
              </w:rPr>
              <w:t xml:space="preserve"> </w:t>
            </w:r>
            <w:r>
              <w:t>therefor</w:t>
            </w:r>
            <w:r w:rsidR="00DC40AB">
              <w:rPr>
                <w:spacing w:val="28"/>
              </w:rPr>
              <w:t xml:space="preserve"> </w:t>
            </w:r>
            <w:r w:rsidR="00DC40AB">
              <w:t>words</w:t>
            </w:r>
            <w:r w:rsidR="00DC40AB">
              <w:rPr>
                <w:spacing w:val="-3"/>
              </w:rPr>
              <w:t xml:space="preserve"> </w:t>
            </w:r>
            <w:r w:rsidR="00DC40AB">
              <w:t>“</w:t>
            </w:r>
            <w:r w:rsidR="00DC40AB">
              <w:rPr>
                <w:i/>
              </w:rPr>
              <w:t>five</w:t>
            </w:r>
            <w:r w:rsidR="00DC40AB">
              <w:rPr>
                <w:i/>
                <w:spacing w:val="-3"/>
              </w:rPr>
              <w:t xml:space="preserve"> </w:t>
            </w:r>
            <w:r w:rsidR="00DC40AB">
              <w:rPr>
                <w:i/>
                <w:spacing w:val="-2"/>
              </w:rPr>
              <w:t>percent</w:t>
            </w:r>
            <w:r w:rsidR="00DC40AB">
              <w:rPr>
                <w:spacing w:val="-2"/>
              </w:rPr>
              <w:t>”.</w:t>
            </w:r>
          </w:p>
          <w:p w14:paraId="6D3BFD2F" w14:textId="68CC53F5" w:rsidR="00F95626" w:rsidRDefault="00F95626" w:rsidP="00F95626">
            <w:pPr>
              <w:pStyle w:val="TableParagraph"/>
              <w:spacing w:line="268" w:lineRule="exact"/>
              <w:ind w:left="108"/>
              <w:rPr>
                <w:b/>
              </w:rPr>
            </w:pPr>
          </w:p>
        </w:tc>
        <w:tc>
          <w:tcPr>
            <w:tcW w:w="5530" w:type="dxa"/>
          </w:tcPr>
          <w:p w14:paraId="7376E429" w14:textId="48CF542F" w:rsidR="00F95626" w:rsidRDefault="00F95626" w:rsidP="00F95626">
            <w:pPr>
              <w:pStyle w:val="TableParagraph"/>
              <w:spacing w:before="1"/>
              <w:ind w:right="133"/>
            </w:pPr>
            <w:r>
              <w:t>In the last four (4) years, the excise duty regime in the betting</w:t>
            </w:r>
            <w:r>
              <w:rPr>
                <w:spacing w:val="-3"/>
              </w:rPr>
              <w:t xml:space="preserve"> </w:t>
            </w:r>
            <w:r>
              <w:t>and</w:t>
            </w:r>
            <w:r>
              <w:rPr>
                <w:spacing w:val="-3"/>
              </w:rPr>
              <w:t xml:space="preserve"> </w:t>
            </w:r>
            <w:r>
              <w:t>gaming</w:t>
            </w:r>
            <w:r>
              <w:rPr>
                <w:spacing w:val="-5"/>
              </w:rPr>
              <w:t xml:space="preserve"> </w:t>
            </w:r>
            <w:r>
              <w:t>sector</w:t>
            </w:r>
            <w:r>
              <w:rPr>
                <w:spacing w:val="-7"/>
              </w:rPr>
              <w:t xml:space="preserve"> </w:t>
            </w:r>
            <w:r>
              <w:t>has</w:t>
            </w:r>
            <w:r>
              <w:rPr>
                <w:spacing w:val="-3"/>
              </w:rPr>
              <w:t xml:space="preserve"> </w:t>
            </w:r>
            <w:r>
              <w:t>consistently</w:t>
            </w:r>
            <w:r>
              <w:rPr>
                <w:spacing w:val="-3"/>
              </w:rPr>
              <w:t xml:space="preserve"> </w:t>
            </w:r>
            <w:r>
              <w:t>been</w:t>
            </w:r>
            <w:r>
              <w:rPr>
                <w:spacing w:val="-5"/>
              </w:rPr>
              <w:t xml:space="preserve"> </w:t>
            </w:r>
            <w:r>
              <w:t xml:space="preserve">amended. From no excise duty to introduction of excise duty at 7.5% by the Finance Act, 2021, which was subsequently increased to 12.5% through the Finance Act, 2023 (against a proposal to increase the rate to 20%), and </w:t>
            </w:r>
            <w:r w:rsidR="00D85A68">
              <w:t xml:space="preserve">the Tax Laws Amendment Act, 2024, which </w:t>
            </w:r>
            <w:r>
              <w:t>increase</w:t>
            </w:r>
            <w:r w:rsidR="00D85A68">
              <w:t>d</w:t>
            </w:r>
            <w:r>
              <w:t xml:space="preserve"> the rate to 15%.</w:t>
            </w:r>
          </w:p>
          <w:p w14:paraId="331BEE02" w14:textId="77777777" w:rsidR="00F95626" w:rsidRDefault="00F95626" w:rsidP="00F95626">
            <w:pPr>
              <w:pStyle w:val="TableParagraph"/>
              <w:spacing w:before="120"/>
              <w:ind w:right="124"/>
            </w:pPr>
            <w:r>
              <w:t>The effect of sudden and frequent increases in taxes will create an incentive for unscrupulous operators to game</w:t>
            </w:r>
            <w:r>
              <w:rPr>
                <w:spacing w:val="40"/>
              </w:rPr>
              <w:t xml:space="preserve"> </w:t>
            </w:r>
            <w:r>
              <w:t xml:space="preserve">the system in an effort to </w:t>
            </w:r>
            <w:r>
              <w:rPr>
                <w:b/>
              </w:rPr>
              <w:t xml:space="preserve">evade tax </w:t>
            </w:r>
            <w:r>
              <w:t xml:space="preserve">and </w:t>
            </w:r>
            <w:r>
              <w:rPr>
                <w:b/>
              </w:rPr>
              <w:t xml:space="preserve">illegal gambling </w:t>
            </w:r>
            <w:r>
              <w:t xml:space="preserve">which will result in </w:t>
            </w:r>
            <w:r>
              <w:rPr>
                <w:b/>
              </w:rPr>
              <w:t xml:space="preserve">unregulated activities </w:t>
            </w:r>
            <w:r>
              <w:t>where minors cannot be protected. A move to the “black market” also means that customers cannot be protected against gambling addiction and fraudulent schemes. For this reason, we propose a different application of excise duty on the deposits as opposed to the wagers or stakes which is guaranteed to result in the following:</w:t>
            </w:r>
          </w:p>
          <w:p w14:paraId="518698F8" w14:textId="77777777" w:rsidR="00F95626" w:rsidRDefault="00F95626" w:rsidP="00F95626">
            <w:pPr>
              <w:pStyle w:val="TableParagraph"/>
              <w:spacing w:before="121"/>
              <w:ind w:right="124"/>
            </w:pPr>
            <w:r>
              <w:rPr>
                <w:b/>
              </w:rPr>
              <w:t xml:space="preserve">Growth in Tax Collections: </w:t>
            </w:r>
            <w:r>
              <w:t xml:space="preserve">The focus on taxation on withdrawals and deposits as opposed to winnings and stakes is likely to lead to a 50% growth in revenue collections, translating to </w:t>
            </w:r>
            <w:r>
              <w:rPr>
                <w:b/>
              </w:rPr>
              <w:t xml:space="preserve">KES 6.5 billion </w:t>
            </w:r>
            <w:r>
              <w:t>in additional revenue annually.</w:t>
            </w:r>
          </w:p>
          <w:p w14:paraId="316CDC87" w14:textId="33A73E8E" w:rsidR="00F95626" w:rsidRDefault="00F95626" w:rsidP="00F95626">
            <w:pPr>
              <w:pStyle w:val="TableParagraph"/>
              <w:spacing w:line="268" w:lineRule="exact"/>
              <w:ind w:left="109"/>
              <w:jc w:val="left"/>
              <w:rPr>
                <w:spacing w:val="-2"/>
              </w:rPr>
            </w:pPr>
            <w:r>
              <w:rPr>
                <w:b/>
              </w:rPr>
              <w:t xml:space="preserve">Guaranteed Tax Collections: </w:t>
            </w:r>
            <w:r>
              <w:t>The collection of tax revenue where the excise duty is collected at source when the customer deposits their funds to their betting or gaming wallet is guaranteed as opposed to the current scenario where a</w:t>
            </w:r>
            <w:r>
              <w:rPr>
                <w:spacing w:val="-1"/>
              </w:rPr>
              <w:t xml:space="preserve"> </w:t>
            </w:r>
            <w:r>
              <w:t>tax event arises</w:t>
            </w:r>
            <w:r>
              <w:rPr>
                <w:spacing w:val="-2"/>
              </w:rPr>
              <w:t xml:space="preserve"> </w:t>
            </w:r>
            <w:r>
              <w:t>only upon</w:t>
            </w:r>
            <w:r>
              <w:rPr>
                <w:spacing w:val="-1"/>
              </w:rPr>
              <w:t xml:space="preserve"> </w:t>
            </w:r>
            <w:r>
              <w:t>action</w:t>
            </w:r>
            <w:r>
              <w:rPr>
                <w:spacing w:val="-1"/>
              </w:rPr>
              <w:t xml:space="preserve"> </w:t>
            </w:r>
            <w:r>
              <w:t>by a customer in placing a stake.</w:t>
            </w:r>
          </w:p>
        </w:tc>
      </w:tr>
      <w:tr w:rsidR="00416C2A" w14:paraId="2C06B316" w14:textId="77777777">
        <w:trPr>
          <w:trHeight w:val="8002"/>
        </w:trPr>
        <w:tc>
          <w:tcPr>
            <w:tcW w:w="2129" w:type="dxa"/>
          </w:tcPr>
          <w:p w14:paraId="7B079729" w14:textId="12B64925" w:rsidR="00416C2A" w:rsidRDefault="009516FF" w:rsidP="00416C2A">
            <w:pPr>
              <w:pStyle w:val="TableParagraph"/>
              <w:spacing w:before="1"/>
              <w:ind w:right="96"/>
            </w:pPr>
            <w:r>
              <w:lastRenderedPageBreak/>
              <w:t>42. By inserting Part III of the First Schedule to the Excise Duty Act</w:t>
            </w:r>
          </w:p>
        </w:tc>
        <w:tc>
          <w:tcPr>
            <w:tcW w:w="3118" w:type="dxa"/>
          </w:tcPr>
          <w:p w14:paraId="6D3EF634" w14:textId="77777777" w:rsidR="00416C2A" w:rsidRDefault="00416C2A" w:rsidP="00416C2A">
            <w:pPr>
              <w:pStyle w:val="TableParagraph"/>
              <w:spacing w:before="120"/>
              <w:ind w:left="105" w:right="97"/>
            </w:pPr>
          </w:p>
        </w:tc>
        <w:tc>
          <w:tcPr>
            <w:tcW w:w="5103" w:type="dxa"/>
          </w:tcPr>
          <w:p w14:paraId="014B16A4" w14:textId="77777777" w:rsidR="00416C2A" w:rsidRDefault="00416C2A" w:rsidP="00416C2A">
            <w:pPr>
              <w:pStyle w:val="TableParagraph"/>
              <w:spacing w:before="120"/>
              <w:ind w:left="108"/>
              <w:jc w:val="left"/>
              <w:rPr>
                <w:b/>
              </w:rPr>
            </w:pPr>
            <w:r>
              <w:rPr>
                <w:b/>
              </w:rPr>
              <w:t>In</w:t>
            </w:r>
            <w:r>
              <w:rPr>
                <w:b/>
                <w:spacing w:val="-4"/>
              </w:rPr>
              <w:t xml:space="preserve"> </w:t>
            </w:r>
            <w:r>
              <w:rPr>
                <w:b/>
              </w:rPr>
              <w:t>Part</w:t>
            </w:r>
            <w:r>
              <w:rPr>
                <w:b/>
                <w:spacing w:val="-5"/>
              </w:rPr>
              <w:t xml:space="preserve"> </w:t>
            </w:r>
            <w:r>
              <w:rPr>
                <w:b/>
              </w:rPr>
              <w:t>III</w:t>
            </w:r>
            <w:r>
              <w:rPr>
                <w:b/>
                <w:spacing w:val="-4"/>
              </w:rPr>
              <w:t xml:space="preserve"> </w:t>
            </w:r>
            <w:r>
              <w:rPr>
                <w:b/>
              </w:rPr>
              <w:t>–</w:t>
            </w:r>
            <w:r>
              <w:rPr>
                <w:b/>
                <w:spacing w:val="-4"/>
              </w:rPr>
              <w:t xml:space="preserve"> </w:t>
            </w:r>
            <w:r>
              <w:rPr>
                <w:b/>
              </w:rPr>
              <w:t>INTERPRETATION</w:t>
            </w:r>
            <w:r>
              <w:rPr>
                <w:b/>
                <w:spacing w:val="-3"/>
              </w:rPr>
              <w:t xml:space="preserve"> </w:t>
            </w:r>
            <w:r>
              <w:rPr>
                <w:b/>
              </w:rPr>
              <w:t>OF</w:t>
            </w:r>
            <w:r>
              <w:rPr>
                <w:b/>
                <w:spacing w:val="-5"/>
              </w:rPr>
              <w:t xml:space="preserve"> </w:t>
            </w:r>
            <w:r>
              <w:rPr>
                <w:b/>
                <w:spacing w:val="-2"/>
              </w:rPr>
              <w:t>SCHEDULE</w:t>
            </w:r>
          </w:p>
          <w:p w14:paraId="38B04069" w14:textId="77777777" w:rsidR="00416C2A" w:rsidRDefault="00416C2A" w:rsidP="00416C2A">
            <w:pPr>
              <w:pStyle w:val="TableParagraph"/>
              <w:numPr>
                <w:ilvl w:val="0"/>
                <w:numId w:val="5"/>
              </w:numPr>
              <w:tabs>
                <w:tab w:val="left" w:pos="418"/>
                <w:tab w:val="left" w:pos="420"/>
              </w:tabs>
              <w:spacing w:before="120"/>
              <w:ind w:right="132"/>
              <w:jc w:val="both"/>
            </w:pPr>
            <w:r>
              <w:t xml:space="preserve">Deleting the definition “amount wagered or </w:t>
            </w:r>
            <w:r>
              <w:rPr>
                <w:spacing w:val="-2"/>
              </w:rPr>
              <w:t>staked”.</w:t>
            </w:r>
          </w:p>
          <w:p w14:paraId="5CA3C3C7" w14:textId="77777777" w:rsidR="00416C2A" w:rsidRDefault="00416C2A" w:rsidP="00416C2A">
            <w:pPr>
              <w:pStyle w:val="TableParagraph"/>
              <w:numPr>
                <w:ilvl w:val="0"/>
                <w:numId w:val="5"/>
              </w:numPr>
              <w:tabs>
                <w:tab w:val="left" w:pos="418"/>
                <w:tab w:val="left" w:pos="420"/>
              </w:tabs>
              <w:spacing w:before="121"/>
              <w:ind w:right="132" w:hanging="308"/>
              <w:jc w:val="both"/>
            </w:pPr>
            <w:r>
              <w:t>Inserting the following new definition in proper alphabetical sequence:</w:t>
            </w:r>
          </w:p>
          <w:p w14:paraId="237821E7" w14:textId="119A811D" w:rsidR="00416C2A" w:rsidRDefault="00416C2A" w:rsidP="00416C2A">
            <w:pPr>
              <w:pStyle w:val="TableParagraph"/>
              <w:spacing w:before="1"/>
              <w:ind w:left="108" w:right="130"/>
            </w:pPr>
            <w:r>
              <w:rPr>
                <w:i/>
              </w:rPr>
              <w:t>“amount deposited into the customers betting wallet” means the amount of money transferred by a customer into the customer wallet maintained by</w:t>
            </w:r>
            <w:r>
              <w:rPr>
                <w:i/>
                <w:spacing w:val="40"/>
              </w:rPr>
              <w:t xml:space="preserve"> </w:t>
            </w:r>
            <w:r>
              <w:rPr>
                <w:i/>
              </w:rPr>
              <w:t>a licensed betting and gaming operator for betting and gaming purposes</w:t>
            </w:r>
            <w:r>
              <w:t>.</w:t>
            </w:r>
          </w:p>
        </w:tc>
        <w:tc>
          <w:tcPr>
            <w:tcW w:w="5530" w:type="dxa"/>
          </w:tcPr>
          <w:p w14:paraId="638F119A" w14:textId="77777777" w:rsidR="00416C2A" w:rsidRDefault="00416C2A" w:rsidP="00416C2A">
            <w:pPr>
              <w:pStyle w:val="TableParagraph"/>
              <w:ind w:right="123"/>
            </w:pPr>
            <w:r>
              <w:rPr>
                <w:b/>
              </w:rPr>
              <w:t xml:space="preserve">Tax Base Expansion: </w:t>
            </w:r>
            <w:r>
              <w:t>Excise duty on deposits will remove the porous need for self-reporting and assessment and broaden the tax base by bringing more operators into the tax net. This tax regime makes sure that there is no manipulation of the reported numbers.</w:t>
            </w:r>
          </w:p>
          <w:p w14:paraId="02A3250E" w14:textId="77777777" w:rsidR="00416C2A" w:rsidRDefault="00416C2A" w:rsidP="00416C2A">
            <w:pPr>
              <w:pStyle w:val="TableParagraph"/>
              <w:spacing w:before="120"/>
              <w:ind w:right="125"/>
            </w:pPr>
            <w:r>
              <w:t xml:space="preserve">There will be </w:t>
            </w:r>
            <w:r>
              <w:rPr>
                <w:b/>
              </w:rPr>
              <w:t xml:space="preserve">no need for external integrations </w:t>
            </w:r>
            <w:r>
              <w:t xml:space="preserve">that are cumbersome and often not working properly including </w:t>
            </w:r>
            <w:r>
              <w:rPr>
                <w:spacing w:val="-2"/>
              </w:rPr>
              <w:t>downtime.</w:t>
            </w:r>
          </w:p>
          <w:p w14:paraId="47D130F9" w14:textId="77777777" w:rsidR="00416C2A" w:rsidRDefault="00416C2A" w:rsidP="00416C2A">
            <w:pPr>
              <w:pStyle w:val="TableParagraph"/>
              <w:spacing w:before="119"/>
              <w:ind w:right="126"/>
            </w:pPr>
            <w:r>
              <w:rPr>
                <w:b/>
              </w:rPr>
              <w:t xml:space="preserve">Daily collection of tax (that is easy): </w:t>
            </w:r>
            <w:r>
              <w:t>This encourages legal domestic economic activity by ensuring no delays in revenue collection.</w:t>
            </w:r>
          </w:p>
          <w:p w14:paraId="52B95BE1" w14:textId="3F50A4B7" w:rsidR="00416C2A" w:rsidRDefault="00416C2A" w:rsidP="00416C2A">
            <w:pPr>
              <w:pStyle w:val="TableParagraph"/>
              <w:spacing w:before="1"/>
              <w:ind w:right="133"/>
            </w:pPr>
            <w:r>
              <w:rPr>
                <w:b/>
              </w:rPr>
              <w:t xml:space="preserve">Anti-Money Laundering and Terrorism Financing: </w:t>
            </w:r>
            <w:r>
              <w:t>Taxing betting and gaming transactions on deposits guarantees transparency and allows for reporting of suspicious and unusual transactions that are the basis of illicit financial flows.</w:t>
            </w:r>
            <w:r>
              <w:rPr>
                <w:spacing w:val="-5"/>
              </w:rPr>
              <w:t xml:space="preserve"> </w:t>
            </w:r>
            <w:r>
              <w:t>This</w:t>
            </w:r>
            <w:r>
              <w:rPr>
                <w:spacing w:val="-3"/>
              </w:rPr>
              <w:t xml:space="preserve"> </w:t>
            </w:r>
            <w:r>
              <w:t>is</w:t>
            </w:r>
            <w:r>
              <w:rPr>
                <w:spacing w:val="-3"/>
              </w:rPr>
              <w:t xml:space="preserve"> </w:t>
            </w:r>
            <w:r>
              <w:t>particularly</w:t>
            </w:r>
            <w:r>
              <w:rPr>
                <w:spacing w:val="-3"/>
              </w:rPr>
              <w:t xml:space="preserve"> </w:t>
            </w:r>
            <w:r>
              <w:t>relevant</w:t>
            </w:r>
            <w:r>
              <w:rPr>
                <w:spacing w:val="-3"/>
              </w:rPr>
              <w:t xml:space="preserve"> </w:t>
            </w:r>
            <w:r>
              <w:t>for</w:t>
            </w:r>
            <w:r>
              <w:rPr>
                <w:spacing w:val="-3"/>
              </w:rPr>
              <w:t xml:space="preserve"> </w:t>
            </w:r>
            <w:r>
              <w:t>Kenya</w:t>
            </w:r>
            <w:r>
              <w:rPr>
                <w:spacing w:val="-3"/>
              </w:rPr>
              <w:t xml:space="preserve"> </w:t>
            </w:r>
            <w:r>
              <w:t>now</w:t>
            </w:r>
            <w:r>
              <w:rPr>
                <w:spacing w:val="-5"/>
              </w:rPr>
              <w:t xml:space="preserve"> </w:t>
            </w:r>
            <w:r>
              <w:t>that</w:t>
            </w:r>
            <w:r>
              <w:rPr>
                <w:spacing w:val="-3"/>
              </w:rPr>
              <w:t xml:space="preserve"> </w:t>
            </w:r>
            <w:r>
              <w:t>it</w:t>
            </w:r>
            <w:r>
              <w:rPr>
                <w:spacing w:val="-3"/>
              </w:rPr>
              <w:t xml:space="preserve"> </w:t>
            </w:r>
            <w:r>
              <w:t>has been grey listed by the Financial Action Task Force (</w:t>
            </w:r>
            <w:r>
              <w:rPr>
                <w:b/>
              </w:rPr>
              <w:t>FATF</w:t>
            </w:r>
            <w:r>
              <w:t>).</w:t>
            </w:r>
          </w:p>
        </w:tc>
      </w:tr>
    </w:tbl>
    <w:p w14:paraId="5EE84E63" w14:textId="77777777" w:rsidR="00345DA0" w:rsidRDefault="00345DA0"/>
    <w:sectPr w:rsidR="00345DA0">
      <w:pgSz w:w="16840" w:h="11910" w:orient="landscape"/>
      <w:pgMar w:top="1340" w:right="400" w:bottom="280" w:left="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B585B" w14:textId="77777777" w:rsidR="00E26C9B" w:rsidRDefault="00E26C9B" w:rsidP="00F837A4">
      <w:r>
        <w:separator/>
      </w:r>
    </w:p>
  </w:endnote>
  <w:endnote w:type="continuationSeparator" w:id="0">
    <w:p w14:paraId="30BF534E" w14:textId="77777777" w:rsidR="00E26C9B" w:rsidRDefault="00E26C9B" w:rsidP="00F83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9219205"/>
      <w:docPartObj>
        <w:docPartGallery w:val="Page Numbers (Bottom of Page)"/>
        <w:docPartUnique/>
      </w:docPartObj>
    </w:sdtPr>
    <w:sdtEndPr>
      <w:rPr>
        <w:noProof/>
      </w:rPr>
    </w:sdtEndPr>
    <w:sdtContent>
      <w:p w14:paraId="438EDF6D" w14:textId="2380FBD2" w:rsidR="00F837A4" w:rsidRDefault="00F837A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C253C2" w14:textId="77777777" w:rsidR="00F837A4" w:rsidRDefault="00F83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6C528" w14:textId="77777777" w:rsidR="00E26C9B" w:rsidRDefault="00E26C9B" w:rsidP="00F837A4">
      <w:r>
        <w:separator/>
      </w:r>
    </w:p>
  </w:footnote>
  <w:footnote w:type="continuationSeparator" w:id="0">
    <w:p w14:paraId="7CFF4E14" w14:textId="77777777" w:rsidR="00E26C9B" w:rsidRDefault="00E26C9B" w:rsidP="00F83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EDDBF" w14:textId="2CFD0477" w:rsidR="0010365E" w:rsidRDefault="0010365E">
    <w:pPr>
      <w:pStyle w:val="Header"/>
    </w:pPr>
    <w:r w:rsidRPr="0010365E">
      <w:rPr>
        <w:highlight w:val="yellow"/>
      </w:rPr>
      <w:t>AGOK Letterhead</w:t>
    </w:r>
  </w:p>
  <w:p w14:paraId="19C62983" w14:textId="77777777" w:rsidR="0010365E" w:rsidRDefault="001036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6084"/>
    <w:multiLevelType w:val="hybridMultilevel"/>
    <w:tmpl w:val="05AE6742"/>
    <w:lvl w:ilvl="0" w:tplc="E8246DC2">
      <w:start w:val="1"/>
      <w:numFmt w:val="lowerLetter"/>
      <w:lvlText w:val="%1)"/>
      <w:lvlJc w:val="left"/>
      <w:pPr>
        <w:ind w:left="813" w:hanging="356"/>
        <w:jc w:val="left"/>
      </w:pPr>
      <w:rPr>
        <w:rFonts w:ascii="Calibri" w:eastAsia="Calibri" w:hAnsi="Calibri" w:cs="Calibri" w:hint="default"/>
        <w:b w:val="0"/>
        <w:bCs w:val="0"/>
        <w:i w:val="0"/>
        <w:iCs w:val="0"/>
        <w:spacing w:val="-1"/>
        <w:w w:val="100"/>
        <w:sz w:val="22"/>
        <w:szCs w:val="22"/>
        <w:lang w:val="en-US" w:eastAsia="en-US" w:bidi="ar-SA"/>
      </w:rPr>
    </w:lvl>
    <w:lvl w:ilvl="1" w:tplc="485A1226">
      <w:numFmt w:val="bullet"/>
      <w:lvlText w:val="•"/>
      <w:lvlJc w:val="left"/>
      <w:pPr>
        <w:ind w:left="1662" w:hanging="356"/>
      </w:pPr>
      <w:rPr>
        <w:rFonts w:hint="default"/>
        <w:lang w:val="en-US" w:eastAsia="en-US" w:bidi="ar-SA"/>
      </w:rPr>
    </w:lvl>
    <w:lvl w:ilvl="2" w:tplc="B6E4CC58">
      <w:numFmt w:val="bullet"/>
      <w:lvlText w:val="•"/>
      <w:lvlJc w:val="left"/>
      <w:pPr>
        <w:ind w:left="2505" w:hanging="356"/>
      </w:pPr>
      <w:rPr>
        <w:rFonts w:hint="default"/>
        <w:lang w:val="en-US" w:eastAsia="en-US" w:bidi="ar-SA"/>
      </w:rPr>
    </w:lvl>
    <w:lvl w:ilvl="3" w:tplc="D520C13A">
      <w:numFmt w:val="bullet"/>
      <w:lvlText w:val="•"/>
      <w:lvlJc w:val="left"/>
      <w:pPr>
        <w:ind w:left="3347" w:hanging="356"/>
      </w:pPr>
      <w:rPr>
        <w:rFonts w:hint="default"/>
        <w:lang w:val="en-US" w:eastAsia="en-US" w:bidi="ar-SA"/>
      </w:rPr>
    </w:lvl>
    <w:lvl w:ilvl="4" w:tplc="4B94C89E">
      <w:numFmt w:val="bullet"/>
      <w:lvlText w:val="•"/>
      <w:lvlJc w:val="left"/>
      <w:pPr>
        <w:ind w:left="4190" w:hanging="356"/>
      </w:pPr>
      <w:rPr>
        <w:rFonts w:hint="default"/>
        <w:lang w:val="en-US" w:eastAsia="en-US" w:bidi="ar-SA"/>
      </w:rPr>
    </w:lvl>
    <w:lvl w:ilvl="5" w:tplc="F8289BF8">
      <w:numFmt w:val="bullet"/>
      <w:lvlText w:val="•"/>
      <w:lvlJc w:val="left"/>
      <w:pPr>
        <w:ind w:left="5033" w:hanging="356"/>
      </w:pPr>
      <w:rPr>
        <w:rFonts w:hint="default"/>
        <w:lang w:val="en-US" w:eastAsia="en-US" w:bidi="ar-SA"/>
      </w:rPr>
    </w:lvl>
    <w:lvl w:ilvl="6" w:tplc="E3C2384A">
      <w:numFmt w:val="bullet"/>
      <w:lvlText w:val="•"/>
      <w:lvlJc w:val="left"/>
      <w:pPr>
        <w:ind w:left="5875" w:hanging="356"/>
      </w:pPr>
      <w:rPr>
        <w:rFonts w:hint="default"/>
        <w:lang w:val="en-US" w:eastAsia="en-US" w:bidi="ar-SA"/>
      </w:rPr>
    </w:lvl>
    <w:lvl w:ilvl="7" w:tplc="EA161080">
      <w:numFmt w:val="bullet"/>
      <w:lvlText w:val="•"/>
      <w:lvlJc w:val="left"/>
      <w:pPr>
        <w:ind w:left="6718" w:hanging="356"/>
      </w:pPr>
      <w:rPr>
        <w:rFonts w:hint="default"/>
        <w:lang w:val="en-US" w:eastAsia="en-US" w:bidi="ar-SA"/>
      </w:rPr>
    </w:lvl>
    <w:lvl w:ilvl="8" w:tplc="834A2788">
      <w:numFmt w:val="bullet"/>
      <w:lvlText w:val="•"/>
      <w:lvlJc w:val="left"/>
      <w:pPr>
        <w:ind w:left="7561" w:hanging="356"/>
      </w:pPr>
      <w:rPr>
        <w:rFonts w:hint="default"/>
        <w:lang w:val="en-US" w:eastAsia="en-US" w:bidi="ar-SA"/>
      </w:rPr>
    </w:lvl>
  </w:abstractNum>
  <w:abstractNum w:abstractNumId="1" w15:restartNumberingAfterBreak="0">
    <w:nsid w:val="07451CF5"/>
    <w:multiLevelType w:val="hybridMultilevel"/>
    <w:tmpl w:val="2E140A20"/>
    <w:lvl w:ilvl="0" w:tplc="D0340D2C">
      <w:start w:val="1"/>
      <w:numFmt w:val="lowerLetter"/>
      <w:lvlText w:val="%1)"/>
      <w:lvlJc w:val="left"/>
      <w:pPr>
        <w:ind w:left="813" w:hanging="356"/>
        <w:jc w:val="left"/>
      </w:pPr>
      <w:rPr>
        <w:rFonts w:ascii="Calibri" w:eastAsia="Calibri" w:hAnsi="Calibri" w:cs="Calibri" w:hint="default"/>
        <w:b w:val="0"/>
        <w:bCs w:val="0"/>
        <w:i w:val="0"/>
        <w:iCs w:val="0"/>
        <w:spacing w:val="-1"/>
        <w:w w:val="100"/>
        <w:sz w:val="22"/>
        <w:szCs w:val="22"/>
        <w:lang w:val="en-US" w:eastAsia="en-US" w:bidi="ar-SA"/>
      </w:rPr>
    </w:lvl>
    <w:lvl w:ilvl="1" w:tplc="B5586A52">
      <w:numFmt w:val="bullet"/>
      <w:lvlText w:val="•"/>
      <w:lvlJc w:val="left"/>
      <w:pPr>
        <w:ind w:left="1662" w:hanging="356"/>
      </w:pPr>
      <w:rPr>
        <w:rFonts w:hint="default"/>
        <w:lang w:val="en-US" w:eastAsia="en-US" w:bidi="ar-SA"/>
      </w:rPr>
    </w:lvl>
    <w:lvl w:ilvl="2" w:tplc="56CA0CBE">
      <w:numFmt w:val="bullet"/>
      <w:lvlText w:val="•"/>
      <w:lvlJc w:val="left"/>
      <w:pPr>
        <w:ind w:left="2505" w:hanging="356"/>
      </w:pPr>
      <w:rPr>
        <w:rFonts w:hint="default"/>
        <w:lang w:val="en-US" w:eastAsia="en-US" w:bidi="ar-SA"/>
      </w:rPr>
    </w:lvl>
    <w:lvl w:ilvl="3" w:tplc="42A657E2">
      <w:numFmt w:val="bullet"/>
      <w:lvlText w:val="•"/>
      <w:lvlJc w:val="left"/>
      <w:pPr>
        <w:ind w:left="3347" w:hanging="356"/>
      </w:pPr>
      <w:rPr>
        <w:rFonts w:hint="default"/>
        <w:lang w:val="en-US" w:eastAsia="en-US" w:bidi="ar-SA"/>
      </w:rPr>
    </w:lvl>
    <w:lvl w:ilvl="4" w:tplc="D41EFE22">
      <w:numFmt w:val="bullet"/>
      <w:lvlText w:val="•"/>
      <w:lvlJc w:val="left"/>
      <w:pPr>
        <w:ind w:left="4190" w:hanging="356"/>
      </w:pPr>
      <w:rPr>
        <w:rFonts w:hint="default"/>
        <w:lang w:val="en-US" w:eastAsia="en-US" w:bidi="ar-SA"/>
      </w:rPr>
    </w:lvl>
    <w:lvl w:ilvl="5" w:tplc="0F90649A">
      <w:numFmt w:val="bullet"/>
      <w:lvlText w:val="•"/>
      <w:lvlJc w:val="left"/>
      <w:pPr>
        <w:ind w:left="5033" w:hanging="356"/>
      </w:pPr>
      <w:rPr>
        <w:rFonts w:hint="default"/>
        <w:lang w:val="en-US" w:eastAsia="en-US" w:bidi="ar-SA"/>
      </w:rPr>
    </w:lvl>
    <w:lvl w:ilvl="6" w:tplc="F42A9ECC">
      <w:numFmt w:val="bullet"/>
      <w:lvlText w:val="•"/>
      <w:lvlJc w:val="left"/>
      <w:pPr>
        <w:ind w:left="5875" w:hanging="356"/>
      </w:pPr>
      <w:rPr>
        <w:rFonts w:hint="default"/>
        <w:lang w:val="en-US" w:eastAsia="en-US" w:bidi="ar-SA"/>
      </w:rPr>
    </w:lvl>
    <w:lvl w:ilvl="7" w:tplc="9684AD92">
      <w:numFmt w:val="bullet"/>
      <w:lvlText w:val="•"/>
      <w:lvlJc w:val="left"/>
      <w:pPr>
        <w:ind w:left="6718" w:hanging="356"/>
      </w:pPr>
      <w:rPr>
        <w:rFonts w:hint="default"/>
        <w:lang w:val="en-US" w:eastAsia="en-US" w:bidi="ar-SA"/>
      </w:rPr>
    </w:lvl>
    <w:lvl w:ilvl="8" w:tplc="6218BA9A">
      <w:numFmt w:val="bullet"/>
      <w:lvlText w:val="•"/>
      <w:lvlJc w:val="left"/>
      <w:pPr>
        <w:ind w:left="7561" w:hanging="356"/>
      </w:pPr>
      <w:rPr>
        <w:rFonts w:hint="default"/>
        <w:lang w:val="en-US" w:eastAsia="en-US" w:bidi="ar-SA"/>
      </w:rPr>
    </w:lvl>
  </w:abstractNum>
  <w:abstractNum w:abstractNumId="2" w15:restartNumberingAfterBreak="0">
    <w:nsid w:val="0CCC2A85"/>
    <w:multiLevelType w:val="hybridMultilevel"/>
    <w:tmpl w:val="F75ABF72"/>
    <w:lvl w:ilvl="0" w:tplc="062060D2">
      <w:start w:val="1"/>
      <w:numFmt w:val="lowerLetter"/>
      <w:lvlText w:val="%1)"/>
      <w:lvlJc w:val="left"/>
      <w:pPr>
        <w:ind w:left="813" w:hanging="356"/>
        <w:jc w:val="left"/>
      </w:pPr>
      <w:rPr>
        <w:rFonts w:ascii="Calibri" w:eastAsia="Calibri" w:hAnsi="Calibri" w:cs="Calibri" w:hint="default"/>
        <w:b w:val="0"/>
        <w:bCs w:val="0"/>
        <w:i w:val="0"/>
        <w:iCs w:val="0"/>
        <w:spacing w:val="-1"/>
        <w:w w:val="100"/>
        <w:sz w:val="22"/>
        <w:szCs w:val="22"/>
        <w:lang w:val="en-US" w:eastAsia="en-US" w:bidi="ar-SA"/>
      </w:rPr>
    </w:lvl>
    <w:lvl w:ilvl="1" w:tplc="C3DA2236">
      <w:numFmt w:val="bullet"/>
      <w:lvlText w:val="•"/>
      <w:lvlJc w:val="left"/>
      <w:pPr>
        <w:ind w:left="1662" w:hanging="356"/>
      </w:pPr>
      <w:rPr>
        <w:rFonts w:hint="default"/>
        <w:lang w:val="en-US" w:eastAsia="en-US" w:bidi="ar-SA"/>
      </w:rPr>
    </w:lvl>
    <w:lvl w:ilvl="2" w:tplc="D486D7D2">
      <w:numFmt w:val="bullet"/>
      <w:lvlText w:val="•"/>
      <w:lvlJc w:val="left"/>
      <w:pPr>
        <w:ind w:left="2505" w:hanging="356"/>
      </w:pPr>
      <w:rPr>
        <w:rFonts w:hint="default"/>
        <w:lang w:val="en-US" w:eastAsia="en-US" w:bidi="ar-SA"/>
      </w:rPr>
    </w:lvl>
    <w:lvl w:ilvl="3" w:tplc="1BA01878">
      <w:numFmt w:val="bullet"/>
      <w:lvlText w:val="•"/>
      <w:lvlJc w:val="left"/>
      <w:pPr>
        <w:ind w:left="3347" w:hanging="356"/>
      </w:pPr>
      <w:rPr>
        <w:rFonts w:hint="default"/>
        <w:lang w:val="en-US" w:eastAsia="en-US" w:bidi="ar-SA"/>
      </w:rPr>
    </w:lvl>
    <w:lvl w:ilvl="4" w:tplc="3D9042D6">
      <w:numFmt w:val="bullet"/>
      <w:lvlText w:val="•"/>
      <w:lvlJc w:val="left"/>
      <w:pPr>
        <w:ind w:left="4190" w:hanging="356"/>
      </w:pPr>
      <w:rPr>
        <w:rFonts w:hint="default"/>
        <w:lang w:val="en-US" w:eastAsia="en-US" w:bidi="ar-SA"/>
      </w:rPr>
    </w:lvl>
    <w:lvl w:ilvl="5" w:tplc="863AFD34">
      <w:numFmt w:val="bullet"/>
      <w:lvlText w:val="•"/>
      <w:lvlJc w:val="left"/>
      <w:pPr>
        <w:ind w:left="5033" w:hanging="356"/>
      </w:pPr>
      <w:rPr>
        <w:rFonts w:hint="default"/>
        <w:lang w:val="en-US" w:eastAsia="en-US" w:bidi="ar-SA"/>
      </w:rPr>
    </w:lvl>
    <w:lvl w:ilvl="6" w:tplc="378446F0">
      <w:numFmt w:val="bullet"/>
      <w:lvlText w:val="•"/>
      <w:lvlJc w:val="left"/>
      <w:pPr>
        <w:ind w:left="5875" w:hanging="356"/>
      </w:pPr>
      <w:rPr>
        <w:rFonts w:hint="default"/>
        <w:lang w:val="en-US" w:eastAsia="en-US" w:bidi="ar-SA"/>
      </w:rPr>
    </w:lvl>
    <w:lvl w:ilvl="7" w:tplc="E3002430">
      <w:numFmt w:val="bullet"/>
      <w:lvlText w:val="•"/>
      <w:lvlJc w:val="left"/>
      <w:pPr>
        <w:ind w:left="6718" w:hanging="356"/>
      </w:pPr>
      <w:rPr>
        <w:rFonts w:hint="default"/>
        <w:lang w:val="en-US" w:eastAsia="en-US" w:bidi="ar-SA"/>
      </w:rPr>
    </w:lvl>
    <w:lvl w:ilvl="8" w:tplc="AD3E9E8A">
      <w:numFmt w:val="bullet"/>
      <w:lvlText w:val="•"/>
      <w:lvlJc w:val="left"/>
      <w:pPr>
        <w:ind w:left="7561" w:hanging="356"/>
      </w:pPr>
      <w:rPr>
        <w:rFonts w:hint="default"/>
        <w:lang w:val="en-US" w:eastAsia="en-US" w:bidi="ar-SA"/>
      </w:rPr>
    </w:lvl>
  </w:abstractNum>
  <w:abstractNum w:abstractNumId="3" w15:restartNumberingAfterBreak="0">
    <w:nsid w:val="16F324E6"/>
    <w:multiLevelType w:val="hybridMultilevel"/>
    <w:tmpl w:val="AD368692"/>
    <w:lvl w:ilvl="0" w:tplc="15C8E7B4">
      <w:start w:val="1"/>
      <w:numFmt w:val="decimal"/>
      <w:lvlText w:val="%1."/>
      <w:lvlJc w:val="left"/>
      <w:pPr>
        <w:ind w:left="820" w:hanging="360"/>
        <w:jc w:val="right"/>
      </w:pPr>
      <w:rPr>
        <w:rFonts w:ascii="Calibri" w:eastAsia="Calibri" w:hAnsi="Calibri" w:cs="Calibri" w:hint="default"/>
        <w:b w:val="0"/>
        <w:bCs w:val="0"/>
        <w:i w:val="0"/>
        <w:iCs w:val="0"/>
        <w:spacing w:val="0"/>
        <w:w w:val="100"/>
        <w:sz w:val="22"/>
        <w:szCs w:val="22"/>
        <w:lang w:val="en-US" w:eastAsia="en-US" w:bidi="ar-SA"/>
      </w:rPr>
    </w:lvl>
    <w:lvl w:ilvl="1" w:tplc="9EDCDDA0">
      <w:numFmt w:val="bullet"/>
      <w:lvlText w:val="•"/>
      <w:lvlJc w:val="left"/>
      <w:pPr>
        <w:ind w:left="1124" w:hanging="360"/>
      </w:pPr>
      <w:rPr>
        <w:rFonts w:hint="default"/>
        <w:lang w:val="en-US" w:eastAsia="en-US" w:bidi="ar-SA"/>
      </w:rPr>
    </w:lvl>
    <w:lvl w:ilvl="2" w:tplc="EFAC36E0">
      <w:numFmt w:val="bullet"/>
      <w:lvlText w:val="•"/>
      <w:lvlJc w:val="left"/>
      <w:pPr>
        <w:ind w:left="1428" w:hanging="360"/>
      </w:pPr>
      <w:rPr>
        <w:rFonts w:hint="default"/>
        <w:lang w:val="en-US" w:eastAsia="en-US" w:bidi="ar-SA"/>
      </w:rPr>
    </w:lvl>
    <w:lvl w:ilvl="3" w:tplc="B9DA560C">
      <w:numFmt w:val="bullet"/>
      <w:lvlText w:val="•"/>
      <w:lvlJc w:val="left"/>
      <w:pPr>
        <w:ind w:left="1732" w:hanging="360"/>
      </w:pPr>
      <w:rPr>
        <w:rFonts w:hint="default"/>
        <w:lang w:val="en-US" w:eastAsia="en-US" w:bidi="ar-SA"/>
      </w:rPr>
    </w:lvl>
    <w:lvl w:ilvl="4" w:tplc="6164D8EE">
      <w:numFmt w:val="bullet"/>
      <w:lvlText w:val="•"/>
      <w:lvlJc w:val="left"/>
      <w:pPr>
        <w:ind w:left="2036" w:hanging="360"/>
      </w:pPr>
      <w:rPr>
        <w:rFonts w:hint="default"/>
        <w:lang w:val="en-US" w:eastAsia="en-US" w:bidi="ar-SA"/>
      </w:rPr>
    </w:lvl>
    <w:lvl w:ilvl="5" w:tplc="9F14701A">
      <w:numFmt w:val="bullet"/>
      <w:lvlText w:val="•"/>
      <w:lvlJc w:val="left"/>
      <w:pPr>
        <w:ind w:left="2340" w:hanging="360"/>
      </w:pPr>
      <w:rPr>
        <w:rFonts w:hint="default"/>
        <w:lang w:val="en-US" w:eastAsia="en-US" w:bidi="ar-SA"/>
      </w:rPr>
    </w:lvl>
    <w:lvl w:ilvl="6" w:tplc="F87E7C66">
      <w:numFmt w:val="bullet"/>
      <w:lvlText w:val="•"/>
      <w:lvlJc w:val="left"/>
      <w:pPr>
        <w:ind w:left="2644" w:hanging="360"/>
      </w:pPr>
      <w:rPr>
        <w:rFonts w:hint="default"/>
        <w:lang w:val="en-US" w:eastAsia="en-US" w:bidi="ar-SA"/>
      </w:rPr>
    </w:lvl>
    <w:lvl w:ilvl="7" w:tplc="CD889670">
      <w:numFmt w:val="bullet"/>
      <w:lvlText w:val="•"/>
      <w:lvlJc w:val="left"/>
      <w:pPr>
        <w:ind w:left="2949" w:hanging="360"/>
      </w:pPr>
      <w:rPr>
        <w:rFonts w:hint="default"/>
        <w:lang w:val="en-US" w:eastAsia="en-US" w:bidi="ar-SA"/>
      </w:rPr>
    </w:lvl>
    <w:lvl w:ilvl="8" w:tplc="B9AEE832">
      <w:numFmt w:val="bullet"/>
      <w:lvlText w:val="•"/>
      <w:lvlJc w:val="left"/>
      <w:pPr>
        <w:ind w:left="3253" w:hanging="360"/>
      </w:pPr>
      <w:rPr>
        <w:rFonts w:hint="default"/>
        <w:lang w:val="en-US" w:eastAsia="en-US" w:bidi="ar-SA"/>
      </w:rPr>
    </w:lvl>
  </w:abstractNum>
  <w:abstractNum w:abstractNumId="4" w15:restartNumberingAfterBreak="0">
    <w:nsid w:val="37E455E8"/>
    <w:multiLevelType w:val="hybridMultilevel"/>
    <w:tmpl w:val="D97E5CA2"/>
    <w:lvl w:ilvl="0" w:tplc="11C40BBE">
      <w:start w:val="1"/>
      <w:numFmt w:val="upperRoman"/>
      <w:lvlText w:val="%1."/>
      <w:lvlJc w:val="left"/>
      <w:pPr>
        <w:ind w:left="420" w:hanging="252"/>
        <w:jc w:val="right"/>
      </w:pPr>
      <w:rPr>
        <w:rFonts w:ascii="Calibri" w:eastAsia="Calibri" w:hAnsi="Calibri" w:cs="Calibri" w:hint="default"/>
        <w:b w:val="0"/>
        <w:bCs w:val="0"/>
        <w:i w:val="0"/>
        <w:iCs w:val="0"/>
        <w:spacing w:val="-1"/>
        <w:w w:val="100"/>
        <w:sz w:val="22"/>
        <w:szCs w:val="22"/>
        <w:lang w:val="en-US" w:eastAsia="en-US" w:bidi="ar-SA"/>
      </w:rPr>
    </w:lvl>
    <w:lvl w:ilvl="1" w:tplc="F03028F8">
      <w:numFmt w:val="bullet"/>
      <w:lvlText w:val="•"/>
      <w:lvlJc w:val="left"/>
      <w:pPr>
        <w:ind w:left="887" w:hanging="252"/>
      </w:pPr>
      <w:rPr>
        <w:rFonts w:hint="default"/>
        <w:lang w:val="en-US" w:eastAsia="en-US" w:bidi="ar-SA"/>
      </w:rPr>
    </w:lvl>
    <w:lvl w:ilvl="2" w:tplc="144E318E">
      <w:numFmt w:val="bullet"/>
      <w:lvlText w:val="•"/>
      <w:lvlJc w:val="left"/>
      <w:pPr>
        <w:ind w:left="1354" w:hanging="252"/>
      </w:pPr>
      <w:rPr>
        <w:rFonts w:hint="default"/>
        <w:lang w:val="en-US" w:eastAsia="en-US" w:bidi="ar-SA"/>
      </w:rPr>
    </w:lvl>
    <w:lvl w:ilvl="3" w:tplc="6FC09D46">
      <w:numFmt w:val="bullet"/>
      <w:lvlText w:val="•"/>
      <w:lvlJc w:val="left"/>
      <w:pPr>
        <w:ind w:left="1821" w:hanging="252"/>
      </w:pPr>
      <w:rPr>
        <w:rFonts w:hint="default"/>
        <w:lang w:val="en-US" w:eastAsia="en-US" w:bidi="ar-SA"/>
      </w:rPr>
    </w:lvl>
    <w:lvl w:ilvl="4" w:tplc="2DD49904">
      <w:numFmt w:val="bullet"/>
      <w:lvlText w:val="•"/>
      <w:lvlJc w:val="left"/>
      <w:pPr>
        <w:ind w:left="2289" w:hanging="252"/>
      </w:pPr>
      <w:rPr>
        <w:rFonts w:hint="default"/>
        <w:lang w:val="en-US" w:eastAsia="en-US" w:bidi="ar-SA"/>
      </w:rPr>
    </w:lvl>
    <w:lvl w:ilvl="5" w:tplc="BEFC57F0">
      <w:numFmt w:val="bullet"/>
      <w:lvlText w:val="•"/>
      <w:lvlJc w:val="left"/>
      <w:pPr>
        <w:ind w:left="2756" w:hanging="252"/>
      </w:pPr>
      <w:rPr>
        <w:rFonts w:hint="default"/>
        <w:lang w:val="en-US" w:eastAsia="en-US" w:bidi="ar-SA"/>
      </w:rPr>
    </w:lvl>
    <w:lvl w:ilvl="6" w:tplc="ED2E8EB4">
      <w:numFmt w:val="bullet"/>
      <w:lvlText w:val="•"/>
      <w:lvlJc w:val="left"/>
      <w:pPr>
        <w:ind w:left="3223" w:hanging="252"/>
      </w:pPr>
      <w:rPr>
        <w:rFonts w:hint="default"/>
        <w:lang w:val="en-US" w:eastAsia="en-US" w:bidi="ar-SA"/>
      </w:rPr>
    </w:lvl>
    <w:lvl w:ilvl="7" w:tplc="324CEEC4">
      <w:numFmt w:val="bullet"/>
      <w:lvlText w:val="•"/>
      <w:lvlJc w:val="left"/>
      <w:pPr>
        <w:ind w:left="3691" w:hanging="252"/>
      </w:pPr>
      <w:rPr>
        <w:rFonts w:hint="default"/>
        <w:lang w:val="en-US" w:eastAsia="en-US" w:bidi="ar-SA"/>
      </w:rPr>
    </w:lvl>
    <w:lvl w:ilvl="8" w:tplc="67F0CD82">
      <w:numFmt w:val="bullet"/>
      <w:lvlText w:val="•"/>
      <w:lvlJc w:val="left"/>
      <w:pPr>
        <w:ind w:left="4158" w:hanging="252"/>
      </w:pPr>
      <w:rPr>
        <w:rFonts w:hint="default"/>
        <w:lang w:val="en-US" w:eastAsia="en-US" w:bidi="ar-SA"/>
      </w:rPr>
    </w:lvl>
  </w:abstractNum>
  <w:abstractNum w:abstractNumId="5" w15:restartNumberingAfterBreak="0">
    <w:nsid w:val="39E07762"/>
    <w:multiLevelType w:val="hybridMultilevel"/>
    <w:tmpl w:val="8FC61D02"/>
    <w:lvl w:ilvl="0" w:tplc="20581D94">
      <w:start w:val="1"/>
      <w:numFmt w:val="upperRoman"/>
      <w:lvlText w:val="%1."/>
      <w:lvlJc w:val="left"/>
      <w:pPr>
        <w:ind w:left="420" w:hanging="252"/>
        <w:jc w:val="right"/>
      </w:pPr>
      <w:rPr>
        <w:rFonts w:ascii="Calibri" w:eastAsia="Calibri" w:hAnsi="Calibri" w:cs="Calibri" w:hint="default"/>
        <w:b w:val="0"/>
        <w:bCs w:val="0"/>
        <w:i w:val="0"/>
        <w:iCs w:val="0"/>
        <w:spacing w:val="-1"/>
        <w:w w:val="100"/>
        <w:sz w:val="22"/>
        <w:szCs w:val="22"/>
        <w:lang w:val="en-US" w:eastAsia="en-US" w:bidi="ar-SA"/>
      </w:rPr>
    </w:lvl>
    <w:lvl w:ilvl="1" w:tplc="39389298">
      <w:numFmt w:val="bullet"/>
      <w:lvlText w:val="•"/>
      <w:lvlJc w:val="left"/>
      <w:pPr>
        <w:ind w:left="887" w:hanging="252"/>
      </w:pPr>
      <w:rPr>
        <w:rFonts w:hint="default"/>
        <w:lang w:val="en-US" w:eastAsia="en-US" w:bidi="ar-SA"/>
      </w:rPr>
    </w:lvl>
    <w:lvl w:ilvl="2" w:tplc="59CA232C">
      <w:numFmt w:val="bullet"/>
      <w:lvlText w:val="•"/>
      <w:lvlJc w:val="left"/>
      <w:pPr>
        <w:ind w:left="1354" w:hanging="252"/>
      </w:pPr>
      <w:rPr>
        <w:rFonts w:hint="default"/>
        <w:lang w:val="en-US" w:eastAsia="en-US" w:bidi="ar-SA"/>
      </w:rPr>
    </w:lvl>
    <w:lvl w:ilvl="3" w:tplc="D36C529E">
      <w:numFmt w:val="bullet"/>
      <w:lvlText w:val="•"/>
      <w:lvlJc w:val="left"/>
      <w:pPr>
        <w:ind w:left="1821" w:hanging="252"/>
      </w:pPr>
      <w:rPr>
        <w:rFonts w:hint="default"/>
        <w:lang w:val="en-US" w:eastAsia="en-US" w:bidi="ar-SA"/>
      </w:rPr>
    </w:lvl>
    <w:lvl w:ilvl="4" w:tplc="0206F58A">
      <w:numFmt w:val="bullet"/>
      <w:lvlText w:val="•"/>
      <w:lvlJc w:val="left"/>
      <w:pPr>
        <w:ind w:left="2288" w:hanging="252"/>
      </w:pPr>
      <w:rPr>
        <w:rFonts w:hint="default"/>
        <w:lang w:val="en-US" w:eastAsia="en-US" w:bidi="ar-SA"/>
      </w:rPr>
    </w:lvl>
    <w:lvl w:ilvl="5" w:tplc="6AD04F1C">
      <w:numFmt w:val="bullet"/>
      <w:lvlText w:val="•"/>
      <w:lvlJc w:val="left"/>
      <w:pPr>
        <w:ind w:left="2756" w:hanging="252"/>
      </w:pPr>
      <w:rPr>
        <w:rFonts w:hint="default"/>
        <w:lang w:val="en-US" w:eastAsia="en-US" w:bidi="ar-SA"/>
      </w:rPr>
    </w:lvl>
    <w:lvl w:ilvl="6" w:tplc="7ED894D2">
      <w:numFmt w:val="bullet"/>
      <w:lvlText w:val="•"/>
      <w:lvlJc w:val="left"/>
      <w:pPr>
        <w:ind w:left="3223" w:hanging="252"/>
      </w:pPr>
      <w:rPr>
        <w:rFonts w:hint="default"/>
        <w:lang w:val="en-US" w:eastAsia="en-US" w:bidi="ar-SA"/>
      </w:rPr>
    </w:lvl>
    <w:lvl w:ilvl="7" w:tplc="C8169690">
      <w:numFmt w:val="bullet"/>
      <w:lvlText w:val="•"/>
      <w:lvlJc w:val="left"/>
      <w:pPr>
        <w:ind w:left="3690" w:hanging="252"/>
      </w:pPr>
      <w:rPr>
        <w:rFonts w:hint="default"/>
        <w:lang w:val="en-US" w:eastAsia="en-US" w:bidi="ar-SA"/>
      </w:rPr>
    </w:lvl>
    <w:lvl w:ilvl="8" w:tplc="9D30E298">
      <w:numFmt w:val="bullet"/>
      <w:lvlText w:val="•"/>
      <w:lvlJc w:val="left"/>
      <w:pPr>
        <w:ind w:left="4157" w:hanging="252"/>
      </w:pPr>
      <w:rPr>
        <w:rFonts w:hint="default"/>
        <w:lang w:val="en-US" w:eastAsia="en-US" w:bidi="ar-SA"/>
      </w:rPr>
    </w:lvl>
  </w:abstractNum>
  <w:abstractNum w:abstractNumId="6" w15:restartNumberingAfterBreak="0">
    <w:nsid w:val="401A5947"/>
    <w:multiLevelType w:val="hybridMultilevel"/>
    <w:tmpl w:val="9D4A9956"/>
    <w:lvl w:ilvl="0" w:tplc="1CD45C92">
      <w:start w:val="1"/>
      <w:numFmt w:val="upperRoman"/>
      <w:lvlText w:val="%1."/>
      <w:lvlJc w:val="left"/>
      <w:pPr>
        <w:ind w:left="420" w:hanging="252"/>
        <w:jc w:val="left"/>
      </w:pPr>
      <w:rPr>
        <w:rFonts w:ascii="Calibri" w:eastAsia="Calibri" w:hAnsi="Calibri" w:cs="Calibri" w:hint="default"/>
        <w:b w:val="0"/>
        <w:bCs w:val="0"/>
        <w:i w:val="0"/>
        <w:iCs w:val="0"/>
        <w:spacing w:val="-1"/>
        <w:w w:val="100"/>
        <w:sz w:val="22"/>
        <w:szCs w:val="22"/>
        <w:lang w:val="en-US" w:eastAsia="en-US" w:bidi="ar-SA"/>
      </w:rPr>
    </w:lvl>
    <w:lvl w:ilvl="1" w:tplc="C700CA14">
      <w:numFmt w:val="bullet"/>
      <w:lvlText w:val="•"/>
      <w:lvlJc w:val="left"/>
      <w:pPr>
        <w:ind w:left="887" w:hanging="252"/>
      </w:pPr>
      <w:rPr>
        <w:rFonts w:hint="default"/>
        <w:lang w:val="en-US" w:eastAsia="en-US" w:bidi="ar-SA"/>
      </w:rPr>
    </w:lvl>
    <w:lvl w:ilvl="2" w:tplc="F5660E1A">
      <w:numFmt w:val="bullet"/>
      <w:lvlText w:val="•"/>
      <w:lvlJc w:val="left"/>
      <w:pPr>
        <w:ind w:left="1354" w:hanging="252"/>
      </w:pPr>
      <w:rPr>
        <w:rFonts w:hint="default"/>
        <w:lang w:val="en-US" w:eastAsia="en-US" w:bidi="ar-SA"/>
      </w:rPr>
    </w:lvl>
    <w:lvl w:ilvl="3" w:tplc="4BA20BF2">
      <w:numFmt w:val="bullet"/>
      <w:lvlText w:val="•"/>
      <w:lvlJc w:val="left"/>
      <w:pPr>
        <w:ind w:left="1821" w:hanging="252"/>
      </w:pPr>
      <w:rPr>
        <w:rFonts w:hint="default"/>
        <w:lang w:val="en-US" w:eastAsia="en-US" w:bidi="ar-SA"/>
      </w:rPr>
    </w:lvl>
    <w:lvl w:ilvl="4" w:tplc="8982BB6E">
      <w:numFmt w:val="bullet"/>
      <w:lvlText w:val="•"/>
      <w:lvlJc w:val="left"/>
      <w:pPr>
        <w:ind w:left="2289" w:hanging="252"/>
      </w:pPr>
      <w:rPr>
        <w:rFonts w:hint="default"/>
        <w:lang w:val="en-US" w:eastAsia="en-US" w:bidi="ar-SA"/>
      </w:rPr>
    </w:lvl>
    <w:lvl w:ilvl="5" w:tplc="D93A45F0">
      <w:numFmt w:val="bullet"/>
      <w:lvlText w:val="•"/>
      <w:lvlJc w:val="left"/>
      <w:pPr>
        <w:ind w:left="2756" w:hanging="252"/>
      </w:pPr>
      <w:rPr>
        <w:rFonts w:hint="default"/>
        <w:lang w:val="en-US" w:eastAsia="en-US" w:bidi="ar-SA"/>
      </w:rPr>
    </w:lvl>
    <w:lvl w:ilvl="6" w:tplc="57DE392A">
      <w:numFmt w:val="bullet"/>
      <w:lvlText w:val="•"/>
      <w:lvlJc w:val="left"/>
      <w:pPr>
        <w:ind w:left="3223" w:hanging="252"/>
      </w:pPr>
      <w:rPr>
        <w:rFonts w:hint="default"/>
        <w:lang w:val="en-US" w:eastAsia="en-US" w:bidi="ar-SA"/>
      </w:rPr>
    </w:lvl>
    <w:lvl w:ilvl="7" w:tplc="559E18BA">
      <w:numFmt w:val="bullet"/>
      <w:lvlText w:val="•"/>
      <w:lvlJc w:val="left"/>
      <w:pPr>
        <w:ind w:left="3691" w:hanging="252"/>
      </w:pPr>
      <w:rPr>
        <w:rFonts w:hint="default"/>
        <w:lang w:val="en-US" w:eastAsia="en-US" w:bidi="ar-SA"/>
      </w:rPr>
    </w:lvl>
    <w:lvl w:ilvl="8" w:tplc="E1AE5956">
      <w:numFmt w:val="bullet"/>
      <w:lvlText w:val="•"/>
      <w:lvlJc w:val="left"/>
      <w:pPr>
        <w:ind w:left="4158" w:hanging="252"/>
      </w:pPr>
      <w:rPr>
        <w:rFonts w:hint="default"/>
        <w:lang w:val="en-US" w:eastAsia="en-US" w:bidi="ar-SA"/>
      </w:rPr>
    </w:lvl>
  </w:abstractNum>
  <w:abstractNum w:abstractNumId="7" w15:restartNumberingAfterBreak="0">
    <w:nsid w:val="48DE3F5C"/>
    <w:multiLevelType w:val="hybridMultilevel"/>
    <w:tmpl w:val="DEEE14F6"/>
    <w:lvl w:ilvl="0" w:tplc="A796D5E2">
      <w:start w:val="1"/>
      <w:numFmt w:val="upperRoman"/>
      <w:lvlText w:val="%1."/>
      <w:lvlJc w:val="left"/>
      <w:pPr>
        <w:ind w:left="420" w:hanging="252"/>
        <w:jc w:val="left"/>
      </w:pPr>
      <w:rPr>
        <w:rFonts w:ascii="Calibri" w:eastAsia="Calibri" w:hAnsi="Calibri" w:cs="Calibri" w:hint="default"/>
        <w:b w:val="0"/>
        <w:bCs w:val="0"/>
        <w:i w:val="0"/>
        <w:iCs w:val="0"/>
        <w:spacing w:val="-1"/>
        <w:w w:val="100"/>
        <w:sz w:val="22"/>
        <w:szCs w:val="22"/>
        <w:lang w:val="en-US" w:eastAsia="en-US" w:bidi="ar-SA"/>
      </w:rPr>
    </w:lvl>
    <w:lvl w:ilvl="1" w:tplc="FDBEF13C">
      <w:numFmt w:val="bullet"/>
      <w:lvlText w:val="•"/>
      <w:lvlJc w:val="left"/>
      <w:pPr>
        <w:ind w:left="887" w:hanging="252"/>
      </w:pPr>
      <w:rPr>
        <w:rFonts w:hint="default"/>
        <w:lang w:val="en-US" w:eastAsia="en-US" w:bidi="ar-SA"/>
      </w:rPr>
    </w:lvl>
    <w:lvl w:ilvl="2" w:tplc="183CFAEC">
      <w:numFmt w:val="bullet"/>
      <w:lvlText w:val="•"/>
      <w:lvlJc w:val="left"/>
      <w:pPr>
        <w:ind w:left="1354" w:hanging="252"/>
      </w:pPr>
      <w:rPr>
        <w:rFonts w:hint="default"/>
        <w:lang w:val="en-US" w:eastAsia="en-US" w:bidi="ar-SA"/>
      </w:rPr>
    </w:lvl>
    <w:lvl w:ilvl="3" w:tplc="BC06A856">
      <w:numFmt w:val="bullet"/>
      <w:lvlText w:val="•"/>
      <w:lvlJc w:val="left"/>
      <w:pPr>
        <w:ind w:left="1821" w:hanging="252"/>
      </w:pPr>
      <w:rPr>
        <w:rFonts w:hint="default"/>
        <w:lang w:val="en-US" w:eastAsia="en-US" w:bidi="ar-SA"/>
      </w:rPr>
    </w:lvl>
    <w:lvl w:ilvl="4" w:tplc="63D2D9B0">
      <w:numFmt w:val="bullet"/>
      <w:lvlText w:val="•"/>
      <w:lvlJc w:val="left"/>
      <w:pPr>
        <w:ind w:left="2288" w:hanging="252"/>
      </w:pPr>
      <w:rPr>
        <w:rFonts w:hint="default"/>
        <w:lang w:val="en-US" w:eastAsia="en-US" w:bidi="ar-SA"/>
      </w:rPr>
    </w:lvl>
    <w:lvl w:ilvl="5" w:tplc="E3421EAE">
      <w:numFmt w:val="bullet"/>
      <w:lvlText w:val="•"/>
      <w:lvlJc w:val="left"/>
      <w:pPr>
        <w:ind w:left="2756" w:hanging="252"/>
      </w:pPr>
      <w:rPr>
        <w:rFonts w:hint="default"/>
        <w:lang w:val="en-US" w:eastAsia="en-US" w:bidi="ar-SA"/>
      </w:rPr>
    </w:lvl>
    <w:lvl w:ilvl="6" w:tplc="3D9E62E4">
      <w:numFmt w:val="bullet"/>
      <w:lvlText w:val="•"/>
      <w:lvlJc w:val="left"/>
      <w:pPr>
        <w:ind w:left="3223" w:hanging="252"/>
      </w:pPr>
      <w:rPr>
        <w:rFonts w:hint="default"/>
        <w:lang w:val="en-US" w:eastAsia="en-US" w:bidi="ar-SA"/>
      </w:rPr>
    </w:lvl>
    <w:lvl w:ilvl="7" w:tplc="642EAD40">
      <w:numFmt w:val="bullet"/>
      <w:lvlText w:val="•"/>
      <w:lvlJc w:val="left"/>
      <w:pPr>
        <w:ind w:left="3690" w:hanging="252"/>
      </w:pPr>
      <w:rPr>
        <w:rFonts w:hint="default"/>
        <w:lang w:val="en-US" w:eastAsia="en-US" w:bidi="ar-SA"/>
      </w:rPr>
    </w:lvl>
    <w:lvl w:ilvl="8" w:tplc="0DDE5A76">
      <w:numFmt w:val="bullet"/>
      <w:lvlText w:val="•"/>
      <w:lvlJc w:val="left"/>
      <w:pPr>
        <w:ind w:left="4157" w:hanging="252"/>
      </w:pPr>
      <w:rPr>
        <w:rFonts w:hint="default"/>
        <w:lang w:val="en-US" w:eastAsia="en-US" w:bidi="ar-SA"/>
      </w:rPr>
    </w:lvl>
  </w:abstractNum>
  <w:abstractNum w:abstractNumId="8" w15:restartNumberingAfterBreak="0">
    <w:nsid w:val="5F9E7E2C"/>
    <w:multiLevelType w:val="hybridMultilevel"/>
    <w:tmpl w:val="553C7190"/>
    <w:lvl w:ilvl="0" w:tplc="FB78C238">
      <w:start w:val="1"/>
      <w:numFmt w:val="upperRoman"/>
      <w:lvlText w:val="%1."/>
      <w:lvlJc w:val="left"/>
      <w:pPr>
        <w:ind w:left="420" w:hanging="252"/>
        <w:jc w:val="left"/>
      </w:pPr>
      <w:rPr>
        <w:rFonts w:ascii="Calibri" w:eastAsia="Calibri" w:hAnsi="Calibri" w:cs="Calibri" w:hint="default"/>
        <w:b w:val="0"/>
        <w:bCs w:val="0"/>
        <w:i w:val="0"/>
        <w:iCs w:val="0"/>
        <w:spacing w:val="-1"/>
        <w:w w:val="100"/>
        <w:sz w:val="22"/>
        <w:szCs w:val="22"/>
        <w:lang w:val="en-US" w:eastAsia="en-US" w:bidi="ar-SA"/>
      </w:rPr>
    </w:lvl>
    <w:lvl w:ilvl="1" w:tplc="66F640B8">
      <w:numFmt w:val="bullet"/>
      <w:lvlText w:val="•"/>
      <w:lvlJc w:val="left"/>
      <w:pPr>
        <w:ind w:left="887" w:hanging="252"/>
      </w:pPr>
      <w:rPr>
        <w:rFonts w:hint="default"/>
        <w:lang w:val="en-US" w:eastAsia="en-US" w:bidi="ar-SA"/>
      </w:rPr>
    </w:lvl>
    <w:lvl w:ilvl="2" w:tplc="3E70C268">
      <w:numFmt w:val="bullet"/>
      <w:lvlText w:val="•"/>
      <w:lvlJc w:val="left"/>
      <w:pPr>
        <w:ind w:left="1354" w:hanging="252"/>
      </w:pPr>
      <w:rPr>
        <w:rFonts w:hint="default"/>
        <w:lang w:val="en-US" w:eastAsia="en-US" w:bidi="ar-SA"/>
      </w:rPr>
    </w:lvl>
    <w:lvl w:ilvl="3" w:tplc="8612FFA4">
      <w:numFmt w:val="bullet"/>
      <w:lvlText w:val="•"/>
      <w:lvlJc w:val="left"/>
      <w:pPr>
        <w:ind w:left="1821" w:hanging="252"/>
      </w:pPr>
      <w:rPr>
        <w:rFonts w:hint="default"/>
        <w:lang w:val="en-US" w:eastAsia="en-US" w:bidi="ar-SA"/>
      </w:rPr>
    </w:lvl>
    <w:lvl w:ilvl="4" w:tplc="F0E04EB2">
      <w:numFmt w:val="bullet"/>
      <w:lvlText w:val="•"/>
      <w:lvlJc w:val="left"/>
      <w:pPr>
        <w:ind w:left="2288" w:hanging="252"/>
      </w:pPr>
      <w:rPr>
        <w:rFonts w:hint="default"/>
        <w:lang w:val="en-US" w:eastAsia="en-US" w:bidi="ar-SA"/>
      </w:rPr>
    </w:lvl>
    <w:lvl w:ilvl="5" w:tplc="8BF25764">
      <w:numFmt w:val="bullet"/>
      <w:lvlText w:val="•"/>
      <w:lvlJc w:val="left"/>
      <w:pPr>
        <w:ind w:left="2756" w:hanging="252"/>
      </w:pPr>
      <w:rPr>
        <w:rFonts w:hint="default"/>
        <w:lang w:val="en-US" w:eastAsia="en-US" w:bidi="ar-SA"/>
      </w:rPr>
    </w:lvl>
    <w:lvl w:ilvl="6" w:tplc="0C28CE42">
      <w:numFmt w:val="bullet"/>
      <w:lvlText w:val="•"/>
      <w:lvlJc w:val="left"/>
      <w:pPr>
        <w:ind w:left="3223" w:hanging="252"/>
      </w:pPr>
      <w:rPr>
        <w:rFonts w:hint="default"/>
        <w:lang w:val="en-US" w:eastAsia="en-US" w:bidi="ar-SA"/>
      </w:rPr>
    </w:lvl>
    <w:lvl w:ilvl="7" w:tplc="39BC4B8C">
      <w:numFmt w:val="bullet"/>
      <w:lvlText w:val="•"/>
      <w:lvlJc w:val="left"/>
      <w:pPr>
        <w:ind w:left="3690" w:hanging="252"/>
      </w:pPr>
      <w:rPr>
        <w:rFonts w:hint="default"/>
        <w:lang w:val="en-US" w:eastAsia="en-US" w:bidi="ar-SA"/>
      </w:rPr>
    </w:lvl>
    <w:lvl w:ilvl="8" w:tplc="D04CA0C4">
      <w:numFmt w:val="bullet"/>
      <w:lvlText w:val="•"/>
      <w:lvlJc w:val="left"/>
      <w:pPr>
        <w:ind w:left="4157" w:hanging="252"/>
      </w:pPr>
      <w:rPr>
        <w:rFonts w:hint="default"/>
        <w:lang w:val="en-US" w:eastAsia="en-US" w:bidi="ar-SA"/>
      </w:rPr>
    </w:lvl>
  </w:abstractNum>
  <w:abstractNum w:abstractNumId="9" w15:restartNumberingAfterBreak="0">
    <w:nsid w:val="737113A3"/>
    <w:multiLevelType w:val="hybridMultilevel"/>
    <w:tmpl w:val="237EF022"/>
    <w:lvl w:ilvl="0" w:tplc="DEA61D34">
      <w:start w:val="1"/>
      <w:numFmt w:val="decimal"/>
      <w:lvlText w:val="%1."/>
      <w:lvlJc w:val="left"/>
      <w:pPr>
        <w:ind w:left="430" w:hanging="360"/>
        <w:jc w:val="left"/>
      </w:pPr>
      <w:rPr>
        <w:rFonts w:ascii="Calibri" w:eastAsia="Calibri" w:hAnsi="Calibri" w:cs="Calibri" w:hint="default"/>
        <w:b w:val="0"/>
        <w:bCs w:val="0"/>
        <w:i w:val="0"/>
        <w:iCs w:val="0"/>
        <w:spacing w:val="0"/>
        <w:w w:val="100"/>
        <w:sz w:val="22"/>
        <w:szCs w:val="22"/>
        <w:lang w:val="en-US" w:eastAsia="en-US" w:bidi="ar-SA"/>
      </w:rPr>
    </w:lvl>
    <w:lvl w:ilvl="1" w:tplc="C3EE15C0">
      <w:numFmt w:val="bullet"/>
      <w:lvlText w:val="•"/>
      <w:lvlJc w:val="left"/>
      <w:pPr>
        <w:ind w:left="947" w:hanging="360"/>
      </w:pPr>
      <w:rPr>
        <w:rFonts w:hint="default"/>
        <w:lang w:val="en-US" w:eastAsia="en-US" w:bidi="ar-SA"/>
      </w:rPr>
    </w:lvl>
    <w:lvl w:ilvl="2" w:tplc="EA8A50EA">
      <w:numFmt w:val="bullet"/>
      <w:lvlText w:val="•"/>
      <w:lvlJc w:val="left"/>
      <w:pPr>
        <w:ind w:left="1455" w:hanging="360"/>
      </w:pPr>
      <w:rPr>
        <w:rFonts w:hint="default"/>
        <w:lang w:val="en-US" w:eastAsia="en-US" w:bidi="ar-SA"/>
      </w:rPr>
    </w:lvl>
    <w:lvl w:ilvl="3" w:tplc="B086884A">
      <w:numFmt w:val="bullet"/>
      <w:lvlText w:val="•"/>
      <w:lvlJc w:val="left"/>
      <w:pPr>
        <w:ind w:left="1963" w:hanging="360"/>
      </w:pPr>
      <w:rPr>
        <w:rFonts w:hint="default"/>
        <w:lang w:val="en-US" w:eastAsia="en-US" w:bidi="ar-SA"/>
      </w:rPr>
    </w:lvl>
    <w:lvl w:ilvl="4" w:tplc="F6688360">
      <w:numFmt w:val="bullet"/>
      <w:lvlText w:val="•"/>
      <w:lvlJc w:val="left"/>
      <w:pPr>
        <w:ind w:left="2471" w:hanging="360"/>
      </w:pPr>
      <w:rPr>
        <w:rFonts w:hint="default"/>
        <w:lang w:val="en-US" w:eastAsia="en-US" w:bidi="ar-SA"/>
      </w:rPr>
    </w:lvl>
    <w:lvl w:ilvl="5" w:tplc="72524768">
      <w:numFmt w:val="bullet"/>
      <w:lvlText w:val="•"/>
      <w:lvlJc w:val="left"/>
      <w:pPr>
        <w:ind w:left="2979" w:hanging="360"/>
      </w:pPr>
      <w:rPr>
        <w:rFonts w:hint="default"/>
        <w:lang w:val="en-US" w:eastAsia="en-US" w:bidi="ar-SA"/>
      </w:rPr>
    </w:lvl>
    <w:lvl w:ilvl="6" w:tplc="D89EAF82">
      <w:numFmt w:val="bullet"/>
      <w:lvlText w:val="•"/>
      <w:lvlJc w:val="left"/>
      <w:pPr>
        <w:ind w:left="3487" w:hanging="360"/>
      </w:pPr>
      <w:rPr>
        <w:rFonts w:hint="default"/>
        <w:lang w:val="en-US" w:eastAsia="en-US" w:bidi="ar-SA"/>
      </w:rPr>
    </w:lvl>
    <w:lvl w:ilvl="7" w:tplc="B3706E2C">
      <w:numFmt w:val="bullet"/>
      <w:lvlText w:val="•"/>
      <w:lvlJc w:val="left"/>
      <w:pPr>
        <w:ind w:left="3995" w:hanging="360"/>
      </w:pPr>
      <w:rPr>
        <w:rFonts w:hint="default"/>
        <w:lang w:val="en-US" w:eastAsia="en-US" w:bidi="ar-SA"/>
      </w:rPr>
    </w:lvl>
    <w:lvl w:ilvl="8" w:tplc="1D06B5AC">
      <w:numFmt w:val="bullet"/>
      <w:lvlText w:val="•"/>
      <w:lvlJc w:val="left"/>
      <w:pPr>
        <w:ind w:left="4503" w:hanging="360"/>
      </w:pPr>
      <w:rPr>
        <w:rFonts w:hint="default"/>
        <w:lang w:val="en-US" w:eastAsia="en-US" w:bidi="ar-SA"/>
      </w:rPr>
    </w:lvl>
  </w:abstractNum>
  <w:num w:numId="1" w16cid:durableId="1296642450">
    <w:abstractNumId w:val="9"/>
  </w:num>
  <w:num w:numId="2" w16cid:durableId="1110509300">
    <w:abstractNumId w:val="8"/>
  </w:num>
  <w:num w:numId="3" w16cid:durableId="890119033">
    <w:abstractNumId w:val="5"/>
  </w:num>
  <w:num w:numId="4" w16cid:durableId="374701578">
    <w:abstractNumId w:val="7"/>
  </w:num>
  <w:num w:numId="5" w16cid:durableId="537278166">
    <w:abstractNumId w:val="6"/>
  </w:num>
  <w:num w:numId="6" w16cid:durableId="178853977">
    <w:abstractNumId w:val="4"/>
  </w:num>
  <w:num w:numId="7" w16cid:durableId="458572327">
    <w:abstractNumId w:val="3"/>
  </w:num>
  <w:num w:numId="8" w16cid:durableId="1128009263">
    <w:abstractNumId w:val="0"/>
  </w:num>
  <w:num w:numId="9" w16cid:durableId="1546792636">
    <w:abstractNumId w:val="1"/>
  </w:num>
  <w:num w:numId="10" w16cid:durableId="1162161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A0"/>
    <w:rsid w:val="00013D83"/>
    <w:rsid w:val="000166FD"/>
    <w:rsid w:val="00017AA5"/>
    <w:rsid w:val="0002684A"/>
    <w:rsid w:val="00036071"/>
    <w:rsid w:val="0005327B"/>
    <w:rsid w:val="000B00BD"/>
    <w:rsid w:val="000B27A1"/>
    <w:rsid w:val="000B3812"/>
    <w:rsid w:val="000D3C05"/>
    <w:rsid w:val="0010365E"/>
    <w:rsid w:val="00187A7D"/>
    <w:rsid w:val="00195884"/>
    <w:rsid w:val="001D7F62"/>
    <w:rsid w:val="001F13DC"/>
    <w:rsid w:val="00252F46"/>
    <w:rsid w:val="00345DA0"/>
    <w:rsid w:val="003A0376"/>
    <w:rsid w:val="003B701F"/>
    <w:rsid w:val="00416C2A"/>
    <w:rsid w:val="0044697E"/>
    <w:rsid w:val="004512F5"/>
    <w:rsid w:val="0046558C"/>
    <w:rsid w:val="00492FD4"/>
    <w:rsid w:val="004979D6"/>
    <w:rsid w:val="004A101F"/>
    <w:rsid w:val="00581E4F"/>
    <w:rsid w:val="00616092"/>
    <w:rsid w:val="006B6306"/>
    <w:rsid w:val="006E6D6E"/>
    <w:rsid w:val="00741872"/>
    <w:rsid w:val="00745B40"/>
    <w:rsid w:val="00746C09"/>
    <w:rsid w:val="00767164"/>
    <w:rsid w:val="00841B04"/>
    <w:rsid w:val="00847905"/>
    <w:rsid w:val="00884B14"/>
    <w:rsid w:val="008A7496"/>
    <w:rsid w:val="008B270B"/>
    <w:rsid w:val="009032B5"/>
    <w:rsid w:val="009251F1"/>
    <w:rsid w:val="009516FF"/>
    <w:rsid w:val="00981AC2"/>
    <w:rsid w:val="009B4327"/>
    <w:rsid w:val="009E208C"/>
    <w:rsid w:val="00A54FD7"/>
    <w:rsid w:val="00BA50CB"/>
    <w:rsid w:val="00BC2A99"/>
    <w:rsid w:val="00BC2DB2"/>
    <w:rsid w:val="00C8277B"/>
    <w:rsid w:val="00C90C5C"/>
    <w:rsid w:val="00CD7A5D"/>
    <w:rsid w:val="00D1082B"/>
    <w:rsid w:val="00D40C09"/>
    <w:rsid w:val="00D82B53"/>
    <w:rsid w:val="00D85A68"/>
    <w:rsid w:val="00D91301"/>
    <w:rsid w:val="00DC40AB"/>
    <w:rsid w:val="00DD080A"/>
    <w:rsid w:val="00E010A7"/>
    <w:rsid w:val="00E26C9B"/>
    <w:rsid w:val="00E52A85"/>
    <w:rsid w:val="00E76BB6"/>
    <w:rsid w:val="00E77D16"/>
    <w:rsid w:val="00E87F6E"/>
    <w:rsid w:val="00EB3B81"/>
    <w:rsid w:val="00ED13FF"/>
    <w:rsid w:val="00F26619"/>
    <w:rsid w:val="00F52B41"/>
    <w:rsid w:val="00F837A4"/>
    <w:rsid w:val="00F95626"/>
    <w:rsid w:val="00FA5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342AE"/>
  <w15:docId w15:val="{D62065DD-E84C-4EEB-B87A-B9FC1438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0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00"/>
    </w:pPr>
  </w:style>
  <w:style w:type="paragraph" w:styleId="ListParagraph">
    <w:name w:val="List Paragraph"/>
    <w:basedOn w:val="Normal"/>
    <w:uiPriority w:val="1"/>
    <w:qFormat/>
    <w:pPr>
      <w:spacing w:before="22"/>
      <w:ind w:left="813" w:hanging="358"/>
    </w:pPr>
  </w:style>
  <w:style w:type="paragraph" w:customStyle="1" w:styleId="TableParagraph">
    <w:name w:val="Table Paragraph"/>
    <w:basedOn w:val="Normal"/>
    <w:uiPriority w:val="1"/>
    <w:qFormat/>
    <w:pPr>
      <w:ind w:left="107"/>
      <w:jc w:val="both"/>
    </w:pPr>
  </w:style>
  <w:style w:type="character" w:styleId="CommentReference">
    <w:name w:val="annotation reference"/>
    <w:basedOn w:val="DefaultParagraphFont"/>
    <w:uiPriority w:val="99"/>
    <w:semiHidden/>
    <w:unhideWhenUsed/>
    <w:rsid w:val="00D40C09"/>
    <w:rPr>
      <w:sz w:val="16"/>
      <w:szCs w:val="16"/>
    </w:rPr>
  </w:style>
  <w:style w:type="paragraph" w:styleId="CommentText">
    <w:name w:val="annotation text"/>
    <w:basedOn w:val="Normal"/>
    <w:link w:val="CommentTextChar"/>
    <w:uiPriority w:val="99"/>
    <w:unhideWhenUsed/>
    <w:rsid w:val="00D40C09"/>
    <w:rPr>
      <w:sz w:val="20"/>
      <w:szCs w:val="20"/>
    </w:rPr>
  </w:style>
  <w:style w:type="character" w:customStyle="1" w:styleId="CommentTextChar">
    <w:name w:val="Comment Text Char"/>
    <w:basedOn w:val="DefaultParagraphFont"/>
    <w:link w:val="CommentText"/>
    <w:uiPriority w:val="99"/>
    <w:rsid w:val="00D40C09"/>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40C09"/>
    <w:rPr>
      <w:b/>
      <w:bCs/>
    </w:rPr>
  </w:style>
  <w:style w:type="character" w:customStyle="1" w:styleId="CommentSubjectChar">
    <w:name w:val="Comment Subject Char"/>
    <w:basedOn w:val="CommentTextChar"/>
    <w:link w:val="CommentSubject"/>
    <w:uiPriority w:val="99"/>
    <w:semiHidden/>
    <w:rsid w:val="00D40C09"/>
    <w:rPr>
      <w:rFonts w:ascii="Calibri" w:eastAsia="Calibri" w:hAnsi="Calibri" w:cs="Calibri"/>
      <w:b/>
      <w:bCs/>
      <w:sz w:val="20"/>
      <w:szCs w:val="20"/>
    </w:rPr>
  </w:style>
  <w:style w:type="table" w:styleId="TableGrid">
    <w:name w:val="Table Grid"/>
    <w:basedOn w:val="TableNormal"/>
    <w:uiPriority w:val="39"/>
    <w:rsid w:val="00026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37A4"/>
    <w:pPr>
      <w:tabs>
        <w:tab w:val="center" w:pos="4680"/>
        <w:tab w:val="right" w:pos="9360"/>
      </w:tabs>
    </w:pPr>
  </w:style>
  <w:style w:type="character" w:customStyle="1" w:styleId="HeaderChar">
    <w:name w:val="Header Char"/>
    <w:basedOn w:val="DefaultParagraphFont"/>
    <w:link w:val="Header"/>
    <w:uiPriority w:val="99"/>
    <w:rsid w:val="00F837A4"/>
    <w:rPr>
      <w:rFonts w:ascii="Calibri" w:eastAsia="Calibri" w:hAnsi="Calibri" w:cs="Calibri"/>
    </w:rPr>
  </w:style>
  <w:style w:type="paragraph" w:styleId="Footer">
    <w:name w:val="footer"/>
    <w:basedOn w:val="Normal"/>
    <w:link w:val="FooterChar"/>
    <w:uiPriority w:val="99"/>
    <w:unhideWhenUsed/>
    <w:rsid w:val="00F837A4"/>
    <w:pPr>
      <w:tabs>
        <w:tab w:val="center" w:pos="4680"/>
        <w:tab w:val="right" w:pos="9360"/>
      </w:tabs>
    </w:pPr>
  </w:style>
  <w:style w:type="character" w:customStyle="1" w:styleId="FooterChar">
    <w:name w:val="Footer Char"/>
    <w:basedOn w:val="DefaultParagraphFont"/>
    <w:link w:val="Footer"/>
    <w:uiPriority w:val="99"/>
    <w:rsid w:val="00F837A4"/>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Moureen Muthoni</dc:creator>
  <cp:lastModifiedBy>Moureen Muthoni</cp:lastModifiedBy>
  <cp:revision>25</cp:revision>
  <cp:lastPrinted>2024-11-14T11:36:00Z</cp:lastPrinted>
  <dcterms:created xsi:type="dcterms:W3CDTF">2024-11-18T09:35:00Z</dcterms:created>
  <dcterms:modified xsi:type="dcterms:W3CDTF">2025-05-28T10:21:00Z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2024-11-07T00:00:00Z</vt:filetime>
  </property>
  <property fmtid="{D5CDD505-2E9C-101B-9397-08002B2CF9AE}" pid="3" name="LastSaved">
    <vt:filetime>2024-11-07T00:00:00Z</vt:filetime>
  </property>
  <property fmtid="{D5CDD505-2E9C-101B-9397-08002B2CF9AE}" pid="4" name="Producer">
    <vt:lpwstr>iLovePDF</vt:lpwstr>
  </property>
</Properties>
</file>